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39A" w:rsidRDefault="00B21C71" w:rsidP="00B21C71">
      <w:pPr>
        <w:pStyle w:val="NoSpacing"/>
        <w:jc w:val="center"/>
        <w:rPr>
          <w:b/>
          <w:sz w:val="28"/>
          <w:szCs w:val="28"/>
        </w:rPr>
      </w:pPr>
      <w:r w:rsidRPr="00B21C71">
        <w:rPr>
          <w:b/>
          <w:sz w:val="28"/>
          <w:szCs w:val="28"/>
        </w:rPr>
        <w:t>Transportation for the Elderly and Persons with Disabilities</w:t>
      </w:r>
    </w:p>
    <w:p w:rsidR="00C82242" w:rsidRPr="00B21C71" w:rsidRDefault="00E5739A" w:rsidP="00B21C71">
      <w:pPr>
        <w:pStyle w:val="NoSpacing"/>
        <w:jc w:val="center"/>
        <w:rPr>
          <w:b/>
          <w:sz w:val="28"/>
          <w:szCs w:val="28"/>
        </w:rPr>
      </w:pPr>
      <w:r>
        <w:rPr>
          <w:b/>
          <w:sz w:val="28"/>
          <w:szCs w:val="28"/>
        </w:rPr>
        <w:t xml:space="preserve"> (Section 5310 Program)</w:t>
      </w:r>
    </w:p>
    <w:p w:rsidR="00B21C71" w:rsidRDefault="00B21C71" w:rsidP="00E5739A">
      <w:pPr>
        <w:pStyle w:val="NoSpacing"/>
        <w:jc w:val="center"/>
        <w:rPr>
          <w:b/>
          <w:sz w:val="28"/>
          <w:szCs w:val="28"/>
        </w:rPr>
      </w:pPr>
      <w:r w:rsidRPr="00B21C71">
        <w:rPr>
          <w:b/>
          <w:sz w:val="28"/>
          <w:szCs w:val="28"/>
        </w:rPr>
        <w:t>Annual Data Collection &amp; Analysis</w:t>
      </w:r>
      <w:r w:rsidR="00517159">
        <w:rPr>
          <w:b/>
          <w:sz w:val="28"/>
          <w:szCs w:val="28"/>
        </w:rPr>
        <w:t xml:space="preserve"> </w:t>
      </w:r>
      <w:r w:rsidRPr="00B21C71">
        <w:rPr>
          <w:b/>
          <w:sz w:val="28"/>
          <w:szCs w:val="28"/>
        </w:rPr>
        <w:t>FY: 2008 – 2009</w:t>
      </w:r>
    </w:p>
    <w:p w:rsidR="006159FD" w:rsidRPr="00B21C71" w:rsidRDefault="006159FD" w:rsidP="00E5739A">
      <w:pPr>
        <w:pStyle w:val="NoSpacing"/>
        <w:jc w:val="center"/>
        <w:rPr>
          <w:b/>
          <w:sz w:val="28"/>
          <w:szCs w:val="28"/>
        </w:rPr>
      </w:pPr>
    </w:p>
    <w:p w:rsidR="00B21C71" w:rsidRDefault="00B21C71" w:rsidP="00B21C71">
      <w:pPr>
        <w:pStyle w:val="NoSpacing"/>
        <w:jc w:val="center"/>
        <w:rPr>
          <w:sz w:val="28"/>
          <w:szCs w:val="28"/>
        </w:rPr>
      </w:pPr>
    </w:p>
    <w:p w:rsidR="00B21C71" w:rsidRDefault="00B21C71" w:rsidP="00B21C71">
      <w:pPr>
        <w:pStyle w:val="NoSpacing"/>
        <w:rPr>
          <w:sz w:val="24"/>
          <w:szCs w:val="24"/>
        </w:rPr>
      </w:pPr>
      <w:r>
        <w:rPr>
          <w:sz w:val="24"/>
          <w:szCs w:val="24"/>
        </w:rPr>
        <w:t xml:space="preserve">The Federal Transit Administration (FTA) is required to establish performance goals to define the level of performance and to establish performance indicator to be used in measuring relevant outputs, service levels, and outcomes for each of its programs as mandated by the Government Performance Results Act. Commonwealth Environmental Services (CES), Inc. and its subcontractor, TranSystem, have been tasked to collect and analyze data pertaining to FTA’s Transportation for the Elderly and Persons with Disabilities </w:t>
      </w:r>
      <w:r w:rsidR="00E5739A">
        <w:rPr>
          <w:sz w:val="24"/>
          <w:szCs w:val="24"/>
        </w:rPr>
        <w:t xml:space="preserve">(Section 5310) </w:t>
      </w:r>
      <w:r>
        <w:rPr>
          <w:sz w:val="24"/>
          <w:szCs w:val="24"/>
        </w:rPr>
        <w:t>performance evaluation for the Federal fiscal years 2008 and 2009.</w:t>
      </w:r>
    </w:p>
    <w:p w:rsidR="00244877" w:rsidRDefault="00244877" w:rsidP="00B21C71">
      <w:pPr>
        <w:pStyle w:val="NoSpacing"/>
        <w:rPr>
          <w:sz w:val="24"/>
          <w:szCs w:val="24"/>
        </w:rPr>
      </w:pPr>
    </w:p>
    <w:p w:rsidR="00244877" w:rsidRDefault="00244877" w:rsidP="00B21C71">
      <w:pPr>
        <w:pStyle w:val="NoSpacing"/>
        <w:rPr>
          <w:sz w:val="24"/>
          <w:szCs w:val="24"/>
        </w:rPr>
      </w:pPr>
      <w:r>
        <w:rPr>
          <w:b/>
          <w:sz w:val="24"/>
          <w:szCs w:val="24"/>
        </w:rPr>
        <w:t>Program Goal</w:t>
      </w:r>
    </w:p>
    <w:p w:rsidR="00244877" w:rsidRDefault="00244877" w:rsidP="00B21C71">
      <w:pPr>
        <w:pStyle w:val="NoSpacing"/>
        <w:rPr>
          <w:sz w:val="24"/>
          <w:szCs w:val="24"/>
        </w:rPr>
      </w:pPr>
    </w:p>
    <w:p w:rsidR="00244877" w:rsidRPr="00244877" w:rsidRDefault="00244877" w:rsidP="00B21C71">
      <w:pPr>
        <w:pStyle w:val="NoSpacing"/>
        <w:rPr>
          <w:sz w:val="24"/>
          <w:szCs w:val="24"/>
        </w:rPr>
      </w:pPr>
      <w:r>
        <w:rPr>
          <w:sz w:val="24"/>
          <w:szCs w:val="24"/>
        </w:rPr>
        <w:t>The goal of the Section 5310 program is to improve mobility for elderly individuals and individuals with disabilities throughout the country. Toward this goal, FTA provides financial assistance for transportation services planned, designed, and carried out to meet the special transportation needs of elderly individuals and individuals with disabilities in all areas – urbanized, small urban, and rural. The program requires coordination with other Federally-assisted programs and services in order to make the most efficient use of Federal resources.</w:t>
      </w:r>
    </w:p>
    <w:p w:rsidR="00B21C71" w:rsidRDefault="00B21C71" w:rsidP="00B21C71">
      <w:pPr>
        <w:pStyle w:val="NoSpacing"/>
        <w:rPr>
          <w:sz w:val="24"/>
          <w:szCs w:val="24"/>
        </w:rPr>
      </w:pPr>
    </w:p>
    <w:p w:rsidR="00B21C71" w:rsidRDefault="00B21C71" w:rsidP="00B21C71">
      <w:pPr>
        <w:pStyle w:val="NoSpacing"/>
        <w:rPr>
          <w:sz w:val="24"/>
          <w:szCs w:val="24"/>
        </w:rPr>
      </w:pPr>
      <w:r>
        <w:rPr>
          <w:b/>
          <w:sz w:val="24"/>
          <w:szCs w:val="24"/>
        </w:rPr>
        <w:t>Program Performance Measures</w:t>
      </w:r>
    </w:p>
    <w:p w:rsidR="00B21C71" w:rsidRDefault="00B21C71" w:rsidP="00B21C71">
      <w:pPr>
        <w:pStyle w:val="NoSpacing"/>
        <w:rPr>
          <w:sz w:val="24"/>
          <w:szCs w:val="24"/>
        </w:rPr>
      </w:pPr>
    </w:p>
    <w:p w:rsidR="00B21C71" w:rsidRDefault="00244877" w:rsidP="00B21C71">
      <w:pPr>
        <w:pStyle w:val="NoSpacing"/>
        <w:numPr>
          <w:ilvl w:val="0"/>
          <w:numId w:val="2"/>
        </w:numPr>
        <w:rPr>
          <w:sz w:val="24"/>
          <w:szCs w:val="24"/>
        </w:rPr>
      </w:pPr>
      <w:r>
        <w:rPr>
          <w:sz w:val="24"/>
          <w:szCs w:val="24"/>
          <w:u w:val="single"/>
        </w:rPr>
        <w:t>Gaps in Service Filled.</w:t>
      </w:r>
      <w:r>
        <w:rPr>
          <w:sz w:val="24"/>
          <w:szCs w:val="24"/>
        </w:rPr>
        <w:t xml:space="preserve">  Provision of transportation options that would not otherwise be available for older adults and individuals with disabilities measured in numbers of older adults and individuals with d</w:t>
      </w:r>
      <w:r w:rsidR="00E5739A">
        <w:rPr>
          <w:sz w:val="24"/>
          <w:szCs w:val="24"/>
        </w:rPr>
        <w:t xml:space="preserve">isabilities afforded mobility they would </w:t>
      </w:r>
      <w:r>
        <w:rPr>
          <w:sz w:val="24"/>
          <w:szCs w:val="24"/>
        </w:rPr>
        <w:t>not have without program support.</w:t>
      </w:r>
    </w:p>
    <w:p w:rsidR="00B711D1" w:rsidRDefault="00B711D1" w:rsidP="00B711D1">
      <w:pPr>
        <w:pStyle w:val="NoSpacing"/>
        <w:ind w:left="720"/>
        <w:rPr>
          <w:sz w:val="24"/>
          <w:szCs w:val="24"/>
        </w:rPr>
      </w:pPr>
    </w:p>
    <w:p w:rsidR="00244877" w:rsidRDefault="00244877" w:rsidP="00B21C71">
      <w:pPr>
        <w:pStyle w:val="NoSpacing"/>
        <w:numPr>
          <w:ilvl w:val="0"/>
          <w:numId w:val="2"/>
        </w:numPr>
        <w:rPr>
          <w:sz w:val="24"/>
          <w:szCs w:val="24"/>
        </w:rPr>
      </w:pPr>
      <w:r>
        <w:rPr>
          <w:sz w:val="24"/>
          <w:szCs w:val="24"/>
          <w:u w:val="single"/>
        </w:rPr>
        <w:t>Ridership.</w:t>
      </w:r>
      <w:r>
        <w:rPr>
          <w:sz w:val="24"/>
          <w:szCs w:val="24"/>
        </w:rPr>
        <w:t xml:space="preserve">  Actual or estimated number of rides (as measured by one-way trips) provided annually for individuals with disabilities and older adults on Section 5310 supported vehicles and services.</w:t>
      </w:r>
    </w:p>
    <w:p w:rsidR="006159FD" w:rsidRDefault="006159FD" w:rsidP="006159FD">
      <w:pPr>
        <w:pStyle w:val="NoSpacing"/>
        <w:ind w:left="720"/>
        <w:rPr>
          <w:sz w:val="24"/>
          <w:szCs w:val="24"/>
        </w:rPr>
      </w:pPr>
    </w:p>
    <w:p w:rsidR="009B6FCB" w:rsidRDefault="009B6FCB" w:rsidP="009B6FCB">
      <w:pPr>
        <w:pStyle w:val="NoSpacing"/>
        <w:rPr>
          <w:sz w:val="24"/>
          <w:szCs w:val="24"/>
          <w:u w:val="single"/>
        </w:rPr>
      </w:pPr>
    </w:p>
    <w:p w:rsidR="009B6FCB" w:rsidRDefault="009B6FCB" w:rsidP="009B6FCB">
      <w:pPr>
        <w:pStyle w:val="NoSpacing"/>
        <w:rPr>
          <w:b/>
          <w:sz w:val="24"/>
          <w:szCs w:val="24"/>
        </w:rPr>
      </w:pPr>
      <w:r w:rsidRPr="009B6FCB">
        <w:rPr>
          <w:b/>
          <w:sz w:val="24"/>
          <w:szCs w:val="24"/>
        </w:rPr>
        <w:t xml:space="preserve">Section 5310 </w:t>
      </w:r>
      <w:r>
        <w:rPr>
          <w:b/>
          <w:sz w:val="24"/>
          <w:szCs w:val="24"/>
        </w:rPr>
        <w:t>Report FY 2008 and 2009</w:t>
      </w:r>
    </w:p>
    <w:p w:rsidR="00064635" w:rsidRDefault="00064635" w:rsidP="009B6FCB">
      <w:pPr>
        <w:pStyle w:val="NoSpacing"/>
        <w:rPr>
          <w:b/>
          <w:sz w:val="24"/>
          <w:szCs w:val="24"/>
        </w:rPr>
      </w:pPr>
      <w:r>
        <w:rPr>
          <w:b/>
          <w:sz w:val="24"/>
          <w:szCs w:val="24"/>
        </w:rPr>
        <w:t>Number of Individuals Served</w:t>
      </w:r>
    </w:p>
    <w:p w:rsidR="006159FD" w:rsidRDefault="006159FD" w:rsidP="009B6FCB">
      <w:pPr>
        <w:pStyle w:val="NoSpacing"/>
        <w:rPr>
          <w:sz w:val="24"/>
          <w:szCs w:val="24"/>
        </w:rPr>
      </w:pPr>
    </w:p>
    <w:p w:rsidR="009B6FCB" w:rsidRDefault="006D294F" w:rsidP="009B6FCB">
      <w:pPr>
        <w:pStyle w:val="NoSpacing"/>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121B5" w:rsidRPr="006D294F">
        <w:rPr>
          <w:sz w:val="24"/>
          <w:szCs w:val="24"/>
          <w:u w:val="single"/>
        </w:rPr>
        <w:t>2008</w:t>
      </w:r>
      <w:r w:rsidR="004121B5">
        <w:rPr>
          <w:sz w:val="24"/>
          <w:szCs w:val="24"/>
        </w:rPr>
        <w:tab/>
      </w:r>
      <w:r w:rsidR="004121B5">
        <w:rPr>
          <w:sz w:val="24"/>
          <w:szCs w:val="24"/>
        </w:rPr>
        <w:tab/>
      </w:r>
      <w:r w:rsidR="00192805">
        <w:rPr>
          <w:sz w:val="24"/>
          <w:szCs w:val="24"/>
        </w:rPr>
        <w:tab/>
      </w:r>
      <w:r w:rsidR="009B6FCB" w:rsidRPr="006D294F">
        <w:rPr>
          <w:sz w:val="24"/>
          <w:szCs w:val="24"/>
          <w:u w:val="single"/>
        </w:rPr>
        <w:t>2009</w:t>
      </w:r>
    </w:p>
    <w:p w:rsidR="006159FD" w:rsidRPr="006D294F" w:rsidRDefault="006159FD" w:rsidP="009B6FCB">
      <w:pPr>
        <w:pStyle w:val="NoSpacing"/>
        <w:rPr>
          <w:sz w:val="24"/>
          <w:szCs w:val="24"/>
          <w:u w:val="single"/>
        </w:rPr>
      </w:pPr>
    </w:p>
    <w:p w:rsidR="009B6FCB" w:rsidRDefault="009B6FCB" w:rsidP="009B6FCB">
      <w:pPr>
        <w:pStyle w:val="NoSpacing"/>
        <w:numPr>
          <w:ilvl w:val="0"/>
          <w:numId w:val="3"/>
        </w:numPr>
        <w:rPr>
          <w:sz w:val="24"/>
          <w:szCs w:val="24"/>
        </w:rPr>
      </w:pPr>
      <w:r>
        <w:rPr>
          <w:sz w:val="24"/>
          <w:szCs w:val="24"/>
        </w:rPr>
        <w:t>The total number or</w:t>
      </w:r>
      <w:r w:rsidR="004121B5">
        <w:rPr>
          <w:sz w:val="24"/>
          <w:szCs w:val="24"/>
        </w:rPr>
        <w:t xml:space="preserve"> individuals served</w:t>
      </w:r>
      <w:r w:rsidR="004121B5">
        <w:rPr>
          <w:sz w:val="24"/>
          <w:szCs w:val="24"/>
        </w:rPr>
        <w:tab/>
      </w:r>
      <w:r w:rsidR="004121B5">
        <w:rPr>
          <w:sz w:val="24"/>
          <w:szCs w:val="24"/>
        </w:rPr>
        <w:tab/>
      </w:r>
      <w:r w:rsidR="006D294F">
        <w:rPr>
          <w:sz w:val="24"/>
          <w:szCs w:val="24"/>
        </w:rPr>
        <w:t>20,039,165</w:t>
      </w:r>
      <w:r w:rsidR="004121B5">
        <w:rPr>
          <w:sz w:val="24"/>
          <w:szCs w:val="24"/>
        </w:rPr>
        <w:tab/>
      </w:r>
      <w:r w:rsidR="00192805">
        <w:rPr>
          <w:sz w:val="24"/>
          <w:szCs w:val="24"/>
        </w:rPr>
        <w:tab/>
      </w:r>
      <w:r w:rsidR="004121B5">
        <w:rPr>
          <w:sz w:val="24"/>
          <w:szCs w:val="24"/>
        </w:rPr>
        <w:t>95,317,571</w:t>
      </w:r>
    </w:p>
    <w:p w:rsidR="009B6FCB" w:rsidRDefault="009B6FCB" w:rsidP="009B6FCB">
      <w:pPr>
        <w:pStyle w:val="NoSpacing"/>
        <w:numPr>
          <w:ilvl w:val="0"/>
          <w:numId w:val="3"/>
        </w:numPr>
        <w:rPr>
          <w:sz w:val="24"/>
          <w:szCs w:val="24"/>
        </w:rPr>
      </w:pPr>
      <w:r>
        <w:rPr>
          <w:sz w:val="24"/>
          <w:szCs w:val="24"/>
        </w:rPr>
        <w:t>The average numbe</w:t>
      </w:r>
      <w:r w:rsidR="006D294F">
        <w:rPr>
          <w:sz w:val="24"/>
          <w:szCs w:val="24"/>
        </w:rPr>
        <w:t>r of individuals served</w:t>
      </w:r>
      <w:r w:rsidR="006D294F">
        <w:rPr>
          <w:sz w:val="24"/>
          <w:szCs w:val="24"/>
        </w:rPr>
        <w:tab/>
      </w:r>
      <w:r w:rsidR="006D294F">
        <w:rPr>
          <w:sz w:val="24"/>
          <w:szCs w:val="24"/>
        </w:rPr>
        <w:tab/>
        <w:t>43,234</w:t>
      </w:r>
      <w:r w:rsidR="006D294F">
        <w:rPr>
          <w:sz w:val="24"/>
          <w:szCs w:val="24"/>
        </w:rPr>
        <w:tab/>
      </w:r>
      <w:r w:rsidR="006D294F">
        <w:rPr>
          <w:sz w:val="24"/>
          <w:szCs w:val="24"/>
        </w:rPr>
        <w:tab/>
      </w:r>
      <w:r w:rsidR="00192805">
        <w:rPr>
          <w:sz w:val="24"/>
          <w:szCs w:val="24"/>
        </w:rPr>
        <w:tab/>
      </w:r>
      <w:r w:rsidR="004121B5">
        <w:rPr>
          <w:sz w:val="24"/>
          <w:szCs w:val="24"/>
        </w:rPr>
        <w:t>53,973</w:t>
      </w:r>
    </w:p>
    <w:p w:rsidR="009B6FCB" w:rsidRDefault="009B6FCB" w:rsidP="009B6FCB">
      <w:pPr>
        <w:pStyle w:val="NoSpacing"/>
        <w:numPr>
          <w:ilvl w:val="0"/>
          <w:numId w:val="3"/>
        </w:numPr>
        <w:rPr>
          <w:sz w:val="24"/>
          <w:szCs w:val="24"/>
        </w:rPr>
      </w:pPr>
      <w:r>
        <w:rPr>
          <w:sz w:val="24"/>
          <w:szCs w:val="24"/>
        </w:rPr>
        <w:t>The median number of individuals served</w:t>
      </w:r>
      <w:r w:rsidR="004121B5">
        <w:rPr>
          <w:sz w:val="24"/>
          <w:szCs w:val="24"/>
        </w:rPr>
        <w:tab/>
      </w:r>
      <w:r w:rsidR="004121B5">
        <w:rPr>
          <w:sz w:val="24"/>
          <w:szCs w:val="24"/>
        </w:rPr>
        <w:tab/>
      </w:r>
      <w:r w:rsidR="006D294F">
        <w:rPr>
          <w:sz w:val="24"/>
          <w:szCs w:val="24"/>
        </w:rPr>
        <w:t>374,973</w:t>
      </w:r>
      <w:r w:rsidR="004121B5">
        <w:rPr>
          <w:sz w:val="24"/>
          <w:szCs w:val="24"/>
        </w:rPr>
        <w:tab/>
      </w:r>
      <w:r w:rsidR="00192805">
        <w:rPr>
          <w:sz w:val="24"/>
          <w:szCs w:val="24"/>
        </w:rPr>
        <w:tab/>
      </w:r>
      <w:r w:rsidR="004121B5">
        <w:rPr>
          <w:sz w:val="24"/>
          <w:szCs w:val="24"/>
        </w:rPr>
        <w:t>850,144</w:t>
      </w:r>
    </w:p>
    <w:p w:rsidR="006159FD" w:rsidRDefault="006159FD" w:rsidP="006159FD">
      <w:pPr>
        <w:pStyle w:val="NoSpacing"/>
        <w:rPr>
          <w:sz w:val="24"/>
          <w:szCs w:val="24"/>
        </w:rPr>
      </w:pPr>
    </w:p>
    <w:tbl>
      <w:tblPr>
        <w:tblStyle w:val="TableGrid"/>
        <w:tblW w:w="0" w:type="auto"/>
        <w:tblInd w:w="720" w:type="dxa"/>
        <w:tblLook w:val="04A0"/>
      </w:tblPr>
      <w:tblGrid>
        <w:gridCol w:w="2977"/>
        <w:gridCol w:w="2953"/>
        <w:gridCol w:w="2926"/>
      </w:tblGrid>
      <w:tr w:rsidR="004121B5" w:rsidTr="004121B5">
        <w:tc>
          <w:tcPr>
            <w:tcW w:w="3192" w:type="dxa"/>
          </w:tcPr>
          <w:p w:rsidR="004121B5" w:rsidRDefault="008F4AA9" w:rsidP="004121B5">
            <w:pPr>
              <w:pStyle w:val="NoSpacing"/>
              <w:rPr>
                <w:sz w:val="24"/>
                <w:szCs w:val="24"/>
              </w:rPr>
            </w:pPr>
            <w:r>
              <w:rPr>
                <w:sz w:val="24"/>
                <w:szCs w:val="24"/>
              </w:rPr>
              <w:lastRenderedPageBreak/>
              <w:t xml:space="preserve">2008      Recipients      </w:t>
            </w:r>
            <w:r w:rsidR="004121B5">
              <w:rPr>
                <w:sz w:val="24"/>
                <w:szCs w:val="24"/>
              </w:rPr>
              <w:t>2009</w:t>
            </w:r>
          </w:p>
        </w:tc>
        <w:tc>
          <w:tcPr>
            <w:tcW w:w="3192" w:type="dxa"/>
          </w:tcPr>
          <w:p w:rsidR="004121B5" w:rsidRDefault="004121B5" w:rsidP="008F4AA9">
            <w:pPr>
              <w:pStyle w:val="NoSpacing"/>
              <w:jc w:val="center"/>
              <w:rPr>
                <w:sz w:val="24"/>
                <w:szCs w:val="24"/>
              </w:rPr>
            </w:pPr>
            <w:r>
              <w:rPr>
                <w:sz w:val="24"/>
                <w:szCs w:val="24"/>
              </w:rPr>
              <w:t>Groups</w:t>
            </w:r>
          </w:p>
        </w:tc>
        <w:tc>
          <w:tcPr>
            <w:tcW w:w="3192" w:type="dxa"/>
          </w:tcPr>
          <w:p w:rsidR="004121B5" w:rsidRDefault="004121B5" w:rsidP="004121B5">
            <w:pPr>
              <w:pStyle w:val="NoSpacing"/>
              <w:rPr>
                <w:sz w:val="24"/>
                <w:szCs w:val="24"/>
              </w:rPr>
            </w:pPr>
            <w:r>
              <w:rPr>
                <w:sz w:val="24"/>
                <w:szCs w:val="24"/>
              </w:rPr>
              <w:t>% 2008               % 2009</w:t>
            </w:r>
          </w:p>
        </w:tc>
      </w:tr>
      <w:tr w:rsidR="004121B5" w:rsidTr="004121B5">
        <w:tc>
          <w:tcPr>
            <w:tcW w:w="3192" w:type="dxa"/>
          </w:tcPr>
          <w:p w:rsidR="004121B5" w:rsidRDefault="008F4AA9" w:rsidP="004121B5">
            <w:pPr>
              <w:pStyle w:val="NoSpacing"/>
              <w:rPr>
                <w:sz w:val="24"/>
                <w:szCs w:val="24"/>
              </w:rPr>
            </w:pPr>
            <w:r>
              <w:rPr>
                <w:sz w:val="24"/>
                <w:szCs w:val="24"/>
              </w:rPr>
              <w:t>395                                   856</w:t>
            </w:r>
          </w:p>
        </w:tc>
        <w:tc>
          <w:tcPr>
            <w:tcW w:w="3192" w:type="dxa"/>
          </w:tcPr>
          <w:p w:rsidR="004121B5" w:rsidRDefault="004121B5" w:rsidP="008F4AA9">
            <w:pPr>
              <w:pStyle w:val="NoSpacing"/>
              <w:jc w:val="center"/>
              <w:rPr>
                <w:sz w:val="24"/>
                <w:szCs w:val="24"/>
              </w:rPr>
            </w:pPr>
            <w:r>
              <w:rPr>
                <w:sz w:val="24"/>
                <w:szCs w:val="24"/>
              </w:rPr>
              <w:t>1 – 1,000</w:t>
            </w:r>
          </w:p>
        </w:tc>
        <w:tc>
          <w:tcPr>
            <w:tcW w:w="3192" w:type="dxa"/>
          </w:tcPr>
          <w:p w:rsidR="004121B5" w:rsidRDefault="00FC6C4A" w:rsidP="00FC6C4A">
            <w:pPr>
              <w:pStyle w:val="NoSpacing"/>
              <w:rPr>
                <w:sz w:val="24"/>
                <w:szCs w:val="24"/>
              </w:rPr>
            </w:pPr>
            <w:r>
              <w:rPr>
                <w:sz w:val="24"/>
                <w:szCs w:val="24"/>
              </w:rPr>
              <w:t>43%                        45</w:t>
            </w:r>
            <w:r w:rsidR="004121B5">
              <w:rPr>
                <w:sz w:val="24"/>
                <w:szCs w:val="24"/>
              </w:rPr>
              <w:t>%</w:t>
            </w:r>
          </w:p>
        </w:tc>
      </w:tr>
      <w:tr w:rsidR="004121B5" w:rsidTr="004121B5">
        <w:tc>
          <w:tcPr>
            <w:tcW w:w="3192" w:type="dxa"/>
          </w:tcPr>
          <w:p w:rsidR="004121B5" w:rsidRDefault="008F4AA9" w:rsidP="004121B5">
            <w:pPr>
              <w:pStyle w:val="NoSpacing"/>
              <w:rPr>
                <w:sz w:val="24"/>
                <w:szCs w:val="24"/>
              </w:rPr>
            </w:pPr>
            <w:r>
              <w:rPr>
                <w:sz w:val="24"/>
                <w:szCs w:val="24"/>
              </w:rPr>
              <w:t>139</w:t>
            </w:r>
            <w:r w:rsidR="00401367">
              <w:rPr>
                <w:sz w:val="24"/>
                <w:szCs w:val="24"/>
              </w:rPr>
              <w:t xml:space="preserve">                                   259</w:t>
            </w:r>
          </w:p>
        </w:tc>
        <w:tc>
          <w:tcPr>
            <w:tcW w:w="3192" w:type="dxa"/>
          </w:tcPr>
          <w:p w:rsidR="004121B5" w:rsidRDefault="004121B5" w:rsidP="008F4AA9">
            <w:pPr>
              <w:pStyle w:val="NoSpacing"/>
              <w:jc w:val="center"/>
              <w:rPr>
                <w:sz w:val="24"/>
                <w:szCs w:val="24"/>
              </w:rPr>
            </w:pPr>
            <w:r>
              <w:rPr>
                <w:sz w:val="24"/>
                <w:szCs w:val="24"/>
              </w:rPr>
              <w:t>1,001 – 5,000</w:t>
            </w:r>
          </w:p>
        </w:tc>
        <w:tc>
          <w:tcPr>
            <w:tcW w:w="3192" w:type="dxa"/>
          </w:tcPr>
          <w:p w:rsidR="004121B5" w:rsidRDefault="00FC6C4A" w:rsidP="00FC6C4A">
            <w:pPr>
              <w:pStyle w:val="NoSpacing"/>
              <w:rPr>
                <w:sz w:val="24"/>
                <w:szCs w:val="24"/>
              </w:rPr>
            </w:pPr>
            <w:r>
              <w:rPr>
                <w:sz w:val="24"/>
                <w:szCs w:val="24"/>
              </w:rPr>
              <w:t>15%                        14%</w:t>
            </w:r>
          </w:p>
        </w:tc>
      </w:tr>
      <w:tr w:rsidR="004121B5" w:rsidTr="004121B5">
        <w:tc>
          <w:tcPr>
            <w:tcW w:w="3192" w:type="dxa"/>
          </w:tcPr>
          <w:p w:rsidR="004121B5" w:rsidRDefault="008F4AA9" w:rsidP="004121B5">
            <w:pPr>
              <w:pStyle w:val="NoSpacing"/>
              <w:rPr>
                <w:sz w:val="24"/>
                <w:szCs w:val="24"/>
              </w:rPr>
            </w:pPr>
            <w:r>
              <w:rPr>
                <w:sz w:val="24"/>
                <w:szCs w:val="24"/>
              </w:rPr>
              <w:t>103</w:t>
            </w:r>
            <w:r w:rsidR="00401367">
              <w:rPr>
                <w:sz w:val="24"/>
                <w:szCs w:val="24"/>
              </w:rPr>
              <w:t xml:space="preserve">                                   148</w:t>
            </w:r>
          </w:p>
        </w:tc>
        <w:tc>
          <w:tcPr>
            <w:tcW w:w="3192" w:type="dxa"/>
          </w:tcPr>
          <w:p w:rsidR="004121B5" w:rsidRDefault="004121B5" w:rsidP="008F4AA9">
            <w:pPr>
              <w:pStyle w:val="NoSpacing"/>
              <w:jc w:val="center"/>
              <w:rPr>
                <w:sz w:val="24"/>
                <w:szCs w:val="24"/>
              </w:rPr>
            </w:pPr>
            <w:r>
              <w:rPr>
                <w:sz w:val="24"/>
                <w:szCs w:val="24"/>
              </w:rPr>
              <w:t>5,001 – 10,000</w:t>
            </w:r>
          </w:p>
        </w:tc>
        <w:tc>
          <w:tcPr>
            <w:tcW w:w="3192" w:type="dxa"/>
          </w:tcPr>
          <w:p w:rsidR="004121B5" w:rsidRDefault="00FC6C4A" w:rsidP="00FC6C4A">
            <w:pPr>
              <w:pStyle w:val="NoSpacing"/>
              <w:rPr>
                <w:sz w:val="24"/>
                <w:szCs w:val="24"/>
              </w:rPr>
            </w:pPr>
            <w:r>
              <w:rPr>
                <w:sz w:val="24"/>
                <w:szCs w:val="24"/>
              </w:rPr>
              <w:t>11%                          8</w:t>
            </w:r>
            <w:r w:rsidR="004121B5">
              <w:rPr>
                <w:sz w:val="24"/>
                <w:szCs w:val="24"/>
              </w:rPr>
              <w:t>%</w:t>
            </w:r>
          </w:p>
        </w:tc>
      </w:tr>
      <w:tr w:rsidR="004121B5" w:rsidTr="004121B5">
        <w:tc>
          <w:tcPr>
            <w:tcW w:w="3192" w:type="dxa"/>
          </w:tcPr>
          <w:p w:rsidR="004121B5" w:rsidRDefault="00401367" w:rsidP="004121B5">
            <w:pPr>
              <w:pStyle w:val="NoSpacing"/>
              <w:rPr>
                <w:sz w:val="24"/>
                <w:szCs w:val="24"/>
              </w:rPr>
            </w:pPr>
            <w:r>
              <w:rPr>
                <w:sz w:val="24"/>
                <w:szCs w:val="24"/>
              </w:rPr>
              <w:t>48                                       62</w:t>
            </w:r>
          </w:p>
        </w:tc>
        <w:tc>
          <w:tcPr>
            <w:tcW w:w="3192" w:type="dxa"/>
          </w:tcPr>
          <w:p w:rsidR="004121B5" w:rsidRDefault="004121B5" w:rsidP="008F4AA9">
            <w:pPr>
              <w:pStyle w:val="NoSpacing"/>
              <w:jc w:val="center"/>
              <w:rPr>
                <w:sz w:val="24"/>
                <w:szCs w:val="24"/>
              </w:rPr>
            </w:pPr>
            <w:r>
              <w:rPr>
                <w:sz w:val="24"/>
                <w:szCs w:val="24"/>
              </w:rPr>
              <w:t>10,001 – 15,000</w:t>
            </w:r>
          </w:p>
        </w:tc>
        <w:tc>
          <w:tcPr>
            <w:tcW w:w="3192" w:type="dxa"/>
          </w:tcPr>
          <w:p w:rsidR="004121B5" w:rsidRDefault="00FC6C4A" w:rsidP="00FC6C4A">
            <w:pPr>
              <w:pStyle w:val="NoSpacing"/>
              <w:rPr>
                <w:sz w:val="24"/>
                <w:szCs w:val="24"/>
              </w:rPr>
            </w:pPr>
            <w:r>
              <w:rPr>
                <w:sz w:val="24"/>
                <w:szCs w:val="24"/>
              </w:rPr>
              <w:t>5%                             3</w:t>
            </w:r>
            <w:r w:rsidR="004121B5">
              <w:rPr>
                <w:sz w:val="24"/>
                <w:szCs w:val="24"/>
              </w:rPr>
              <w:t>%</w:t>
            </w:r>
          </w:p>
        </w:tc>
      </w:tr>
      <w:tr w:rsidR="004121B5" w:rsidTr="004121B5">
        <w:tc>
          <w:tcPr>
            <w:tcW w:w="3192" w:type="dxa"/>
          </w:tcPr>
          <w:p w:rsidR="004121B5" w:rsidRDefault="00401367" w:rsidP="004121B5">
            <w:pPr>
              <w:pStyle w:val="NoSpacing"/>
              <w:rPr>
                <w:sz w:val="24"/>
                <w:szCs w:val="24"/>
              </w:rPr>
            </w:pPr>
            <w:r>
              <w:rPr>
                <w:sz w:val="24"/>
                <w:szCs w:val="24"/>
              </w:rPr>
              <w:t>83                                      104</w:t>
            </w:r>
          </w:p>
        </w:tc>
        <w:tc>
          <w:tcPr>
            <w:tcW w:w="3192" w:type="dxa"/>
          </w:tcPr>
          <w:p w:rsidR="004121B5" w:rsidRDefault="004121B5" w:rsidP="008F4AA9">
            <w:pPr>
              <w:pStyle w:val="NoSpacing"/>
              <w:jc w:val="center"/>
              <w:rPr>
                <w:sz w:val="24"/>
                <w:szCs w:val="24"/>
              </w:rPr>
            </w:pPr>
            <w:r>
              <w:rPr>
                <w:sz w:val="24"/>
                <w:szCs w:val="24"/>
              </w:rPr>
              <w:t>15,001 – 30,000</w:t>
            </w:r>
          </w:p>
        </w:tc>
        <w:tc>
          <w:tcPr>
            <w:tcW w:w="3192" w:type="dxa"/>
          </w:tcPr>
          <w:p w:rsidR="004121B5" w:rsidRDefault="00FC6C4A" w:rsidP="00FC6C4A">
            <w:pPr>
              <w:pStyle w:val="NoSpacing"/>
              <w:rPr>
                <w:sz w:val="24"/>
                <w:szCs w:val="24"/>
              </w:rPr>
            </w:pPr>
            <w:r>
              <w:rPr>
                <w:sz w:val="24"/>
                <w:szCs w:val="24"/>
              </w:rPr>
              <w:t>9%                             5</w:t>
            </w:r>
            <w:r w:rsidR="004121B5">
              <w:rPr>
                <w:sz w:val="24"/>
                <w:szCs w:val="24"/>
              </w:rPr>
              <w:t>%</w:t>
            </w:r>
          </w:p>
        </w:tc>
      </w:tr>
      <w:tr w:rsidR="004121B5" w:rsidTr="004121B5">
        <w:tc>
          <w:tcPr>
            <w:tcW w:w="3192" w:type="dxa"/>
          </w:tcPr>
          <w:p w:rsidR="004121B5" w:rsidRDefault="00401367" w:rsidP="004121B5">
            <w:pPr>
              <w:pStyle w:val="NoSpacing"/>
              <w:rPr>
                <w:sz w:val="24"/>
                <w:szCs w:val="24"/>
              </w:rPr>
            </w:pPr>
            <w:r>
              <w:rPr>
                <w:sz w:val="24"/>
                <w:szCs w:val="24"/>
              </w:rPr>
              <w:t>68                                      108</w:t>
            </w:r>
          </w:p>
        </w:tc>
        <w:tc>
          <w:tcPr>
            <w:tcW w:w="3192" w:type="dxa"/>
          </w:tcPr>
          <w:p w:rsidR="004121B5" w:rsidRDefault="004121B5" w:rsidP="008F4AA9">
            <w:pPr>
              <w:pStyle w:val="NoSpacing"/>
              <w:jc w:val="center"/>
              <w:rPr>
                <w:sz w:val="24"/>
                <w:szCs w:val="24"/>
              </w:rPr>
            </w:pPr>
            <w:r>
              <w:rPr>
                <w:sz w:val="24"/>
                <w:szCs w:val="24"/>
              </w:rPr>
              <w:t>30,001 – 60,000</w:t>
            </w:r>
          </w:p>
        </w:tc>
        <w:tc>
          <w:tcPr>
            <w:tcW w:w="3192" w:type="dxa"/>
          </w:tcPr>
          <w:p w:rsidR="004121B5" w:rsidRDefault="00FC6C4A" w:rsidP="00FC6C4A">
            <w:pPr>
              <w:pStyle w:val="NoSpacing"/>
              <w:rPr>
                <w:sz w:val="24"/>
                <w:szCs w:val="24"/>
              </w:rPr>
            </w:pPr>
            <w:r>
              <w:rPr>
                <w:sz w:val="24"/>
                <w:szCs w:val="24"/>
              </w:rPr>
              <w:t>7%                             6</w:t>
            </w:r>
            <w:r w:rsidR="004121B5">
              <w:rPr>
                <w:sz w:val="24"/>
                <w:szCs w:val="24"/>
              </w:rPr>
              <w:t>%</w:t>
            </w:r>
          </w:p>
        </w:tc>
      </w:tr>
      <w:tr w:rsidR="004121B5" w:rsidTr="004121B5">
        <w:tc>
          <w:tcPr>
            <w:tcW w:w="3192" w:type="dxa"/>
          </w:tcPr>
          <w:p w:rsidR="004121B5" w:rsidRDefault="00401367" w:rsidP="004121B5">
            <w:pPr>
              <w:pStyle w:val="NoSpacing"/>
              <w:rPr>
                <w:sz w:val="24"/>
                <w:szCs w:val="24"/>
              </w:rPr>
            </w:pPr>
            <w:r>
              <w:rPr>
                <w:sz w:val="24"/>
                <w:szCs w:val="24"/>
              </w:rPr>
              <w:t>75                                      180</w:t>
            </w:r>
          </w:p>
        </w:tc>
        <w:tc>
          <w:tcPr>
            <w:tcW w:w="3192" w:type="dxa"/>
          </w:tcPr>
          <w:p w:rsidR="004121B5" w:rsidRDefault="004121B5" w:rsidP="008F4AA9">
            <w:pPr>
              <w:pStyle w:val="NoSpacing"/>
              <w:jc w:val="center"/>
              <w:rPr>
                <w:sz w:val="24"/>
                <w:szCs w:val="24"/>
              </w:rPr>
            </w:pPr>
            <w:r>
              <w:rPr>
                <w:sz w:val="24"/>
                <w:szCs w:val="24"/>
              </w:rPr>
              <w:t>60,001 – 200,000</w:t>
            </w:r>
          </w:p>
        </w:tc>
        <w:tc>
          <w:tcPr>
            <w:tcW w:w="3192" w:type="dxa"/>
          </w:tcPr>
          <w:p w:rsidR="004121B5" w:rsidRDefault="00FC6C4A" w:rsidP="004121B5">
            <w:pPr>
              <w:pStyle w:val="NoSpacing"/>
              <w:rPr>
                <w:sz w:val="24"/>
                <w:szCs w:val="24"/>
              </w:rPr>
            </w:pPr>
            <w:r>
              <w:rPr>
                <w:sz w:val="24"/>
                <w:szCs w:val="24"/>
              </w:rPr>
              <w:t>8%                             10</w:t>
            </w:r>
            <w:r w:rsidR="004121B5">
              <w:rPr>
                <w:sz w:val="24"/>
                <w:szCs w:val="24"/>
              </w:rPr>
              <w:t>%</w:t>
            </w:r>
          </w:p>
        </w:tc>
      </w:tr>
      <w:tr w:rsidR="004121B5" w:rsidTr="004121B5">
        <w:tc>
          <w:tcPr>
            <w:tcW w:w="3192" w:type="dxa"/>
          </w:tcPr>
          <w:p w:rsidR="004121B5" w:rsidRDefault="00401367" w:rsidP="004121B5">
            <w:pPr>
              <w:pStyle w:val="NoSpacing"/>
              <w:rPr>
                <w:sz w:val="24"/>
                <w:szCs w:val="24"/>
              </w:rPr>
            </w:pPr>
            <w:r>
              <w:rPr>
                <w:sz w:val="24"/>
                <w:szCs w:val="24"/>
              </w:rPr>
              <w:t>15                                      169</w:t>
            </w:r>
          </w:p>
        </w:tc>
        <w:tc>
          <w:tcPr>
            <w:tcW w:w="3192" w:type="dxa"/>
          </w:tcPr>
          <w:p w:rsidR="004121B5" w:rsidRDefault="004121B5" w:rsidP="008F4AA9">
            <w:pPr>
              <w:pStyle w:val="NoSpacing"/>
              <w:jc w:val="center"/>
              <w:rPr>
                <w:sz w:val="24"/>
                <w:szCs w:val="24"/>
              </w:rPr>
            </w:pPr>
            <w:r>
              <w:rPr>
                <w:sz w:val="24"/>
                <w:szCs w:val="24"/>
              </w:rPr>
              <w:t>200,001 - Plus</w:t>
            </w:r>
          </w:p>
        </w:tc>
        <w:tc>
          <w:tcPr>
            <w:tcW w:w="3192" w:type="dxa"/>
          </w:tcPr>
          <w:p w:rsidR="004121B5" w:rsidRDefault="00FC6C4A" w:rsidP="004121B5">
            <w:pPr>
              <w:pStyle w:val="NoSpacing"/>
              <w:rPr>
                <w:sz w:val="24"/>
                <w:szCs w:val="24"/>
              </w:rPr>
            </w:pPr>
            <w:r>
              <w:rPr>
                <w:sz w:val="24"/>
                <w:szCs w:val="24"/>
              </w:rPr>
              <w:t>2%                             9</w:t>
            </w:r>
            <w:r w:rsidR="004121B5">
              <w:rPr>
                <w:sz w:val="24"/>
                <w:szCs w:val="24"/>
              </w:rPr>
              <w:t>%</w:t>
            </w:r>
          </w:p>
        </w:tc>
      </w:tr>
      <w:tr w:rsidR="004121B5" w:rsidTr="004121B5">
        <w:tc>
          <w:tcPr>
            <w:tcW w:w="3192" w:type="dxa"/>
          </w:tcPr>
          <w:p w:rsidR="004121B5" w:rsidRDefault="004121B5" w:rsidP="00401367">
            <w:pPr>
              <w:pStyle w:val="NoSpacing"/>
              <w:rPr>
                <w:sz w:val="24"/>
                <w:szCs w:val="24"/>
              </w:rPr>
            </w:pPr>
            <w:r>
              <w:rPr>
                <w:sz w:val="24"/>
                <w:szCs w:val="24"/>
              </w:rPr>
              <w:t xml:space="preserve">Total </w:t>
            </w:r>
            <w:r w:rsidR="00401367">
              <w:rPr>
                <w:sz w:val="24"/>
                <w:szCs w:val="24"/>
              </w:rPr>
              <w:t>926                       1,896</w:t>
            </w:r>
          </w:p>
        </w:tc>
        <w:tc>
          <w:tcPr>
            <w:tcW w:w="3192" w:type="dxa"/>
          </w:tcPr>
          <w:p w:rsidR="004121B5" w:rsidRDefault="004121B5" w:rsidP="004121B5">
            <w:pPr>
              <w:pStyle w:val="NoSpacing"/>
              <w:rPr>
                <w:sz w:val="24"/>
                <w:szCs w:val="24"/>
              </w:rPr>
            </w:pPr>
          </w:p>
        </w:tc>
        <w:tc>
          <w:tcPr>
            <w:tcW w:w="3192" w:type="dxa"/>
          </w:tcPr>
          <w:p w:rsidR="004121B5" w:rsidRDefault="004121B5" w:rsidP="004121B5">
            <w:pPr>
              <w:pStyle w:val="NoSpacing"/>
              <w:rPr>
                <w:sz w:val="24"/>
                <w:szCs w:val="24"/>
              </w:rPr>
            </w:pPr>
            <w:r>
              <w:rPr>
                <w:sz w:val="24"/>
                <w:szCs w:val="24"/>
              </w:rPr>
              <w:t>100%</w:t>
            </w:r>
            <w:r w:rsidR="00FC6C4A">
              <w:rPr>
                <w:sz w:val="24"/>
                <w:szCs w:val="24"/>
              </w:rPr>
              <w:t xml:space="preserve">                      100%</w:t>
            </w:r>
          </w:p>
        </w:tc>
      </w:tr>
    </w:tbl>
    <w:p w:rsidR="00064635" w:rsidRDefault="00064635" w:rsidP="004121B5">
      <w:pPr>
        <w:pStyle w:val="NoSpacing"/>
        <w:ind w:left="720"/>
        <w:rPr>
          <w:sz w:val="24"/>
          <w:szCs w:val="24"/>
        </w:rPr>
      </w:pPr>
    </w:p>
    <w:p w:rsidR="00B711D1" w:rsidRDefault="00B711D1" w:rsidP="004121B5">
      <w:pPr>
        <w:pStyle w:val="NoSpacing"/>
        <w:ind w:left="720"/>
        <w:rPr>
          <w:sz w:val="24"/>
          <w:szCs w:val="24"/>
        </w:rPr>
      </w:pPr>
    </w:p>
    <w:p w:rsidR="00064635" w:rsidRDefault="00064635" w:rsidP="00064635">
      <w:pPr>
        <w:pStyle w:val="NoSpacing"/>
        <w:rPr>
          <w:b/>
          <w:sz w:val="24"/>
          <w:szCs w:val="24"/>
        </w:rPr>
      </w:pPr>
      <w:r>
        <w:rPr>
          <w:b/>
          <w:sz w:val="24"/>
          <w:szCs w:val="24"/>
        </w:rPr>
        <w:t>Number of Rides Provided</w:t>
      </w:r>
    </w:p>
    <w:p w:rsidR="00064635" w:rsidRDefault="00064635" w:rsidP="004121B5">
      <w:pPr>
        <w:pStyle w:val="NoSpacing"/>
        <w:ind w:left="720"/>
        <w:rPr>
          <w:b/>
          <w:sz w:val="24"/>
          <w:szCs w:val="24"/>
        </w:rPr>
      </w:pPr>
    </w:p>
    <w:p w:rsidR="00064635" w:rsidRPr="00064635" w:rsidRDefault="00064635" w:rsidP="004121B5">
      <w:pPr>
        <w:pStyle w:val="NoSpacing"/>
        <w:ind w:left="720"/>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6D294F">
        <w:rPr>
          <w:sz w:val="24"/>
          <w:szCs w:val="24"/>
          <w:u w:val="single"/>
        </w:rPr>
        <w:t>2008</w:t>
      </w:r>
      <w:r>
        <w:rPr>
          <w:sz w:val="24"/>
          <w:szCs w:val="24"/>
        </w:rPr>
        <w:tab/>
      </w:r>
      <w:r>
        <w:rPr>
          <w:sz w:val="24"/>
          <w:szCs w:val="24"/>
        </w:rPr>
        <w:tab/>
      </w:r>
      <w:r w:rsidR="00192805">
        <w:rPr>
          <w:sz w:val="24"/>
          <w:szCs w:val="24"/>
        </w:rPr>
        <w:tab/>
      </w:r>
      <w:r w:rsidRPr="006D294F">
        <w:rPr>
          <w:sz w:val="24"/>
          <w:szCs w:val="24"/>
          <w:u w:val="single"/>
        </w:rPr>
        <w:t>2009</w:t>
      </w:r>
    </w:p>
    <w:p w:rsidR="00064635" w:rsidRDefault="00064635" w:rsidP="00064635">
      <w:pPr>
        <w:pStyle w:val="NoSpacing"/>
        <w:numPr>
          <w:ilvl w:val="0"/>
          <w:numId w:val="5"/>
        </w:numPr>
        <w:rPr>
          <w:sz w:val="24"/>
          <w:szCs w:val="24"/>
        </w:rPr>
      </w:pPr>
      <w:r>
        <w:rPr>
          <w:sz w:val="24"/>
          <w:szCs w:val="24"/>
        </w:rPr>
        <w:t>The total number of rides</w:t>
      </w:r>
      <w:r>
        <w:rPr>
          <w:sz w:val="24"/>
          <w:szCs w:val="24"/>
        </w:rPr>
        <w:tab/>
      </w:r>
      <w:r>
        <w:rPr>
          <w:sz w:val="24"/>
          <w:szCs w:val="24"/>
        </w:rPr>
        <w:tab/>
      </w:r>
      <w:r>
        <w:rPr>
          <w:sz w:val="24"/>
          <w:szCs w:val="24"/>
        </w:rPr>
        <w:tab/>
      </w:r>
      <w:r>
        <w:rPr>
          <w:sz w:val="24"/>
          <w:szCs w:val="24"/>
        </w:rPr>
        <w:tab/>
      </w:r>
      <w:r w:rsidR="006D294F">
        <w:rPr>
          <w:sz w:val="24"/>
          <w:szCs w:val="24"/>
        </w:rPr>
        <w:t>23,684,813</w:t>
      </w:r>
      <w:r>
        <w:rPr>
          <w:sz w:val="24"/>
          <w:szCs w:val="24"/>
        </w:rPr>
        <w:tab/>
      </w:r>
      <w:r w:rsidR="00192805">
        <w:rPr>
          <w:sz w:val="24"/>
          <w:szCs w:val="24"/>
        </w:rPr>
        <w:tab/>
      </w:r>
      <w:r>
        <w:rPr>
          <w:sz w:val="24"/>
          <w:szCs w:val="24"/>
        </w:rPr>
        <w:t>43,303,819</w:t>
      </w:r>
    </w:p>
    <w:p w:rsidR="00064635" w:rsidRDefault="00064635" w:rsidP="00064635">
      <w:pPr>
        <w:pStyle w:val="NoSpacing"/>
        <w:numPr>
          <w:ilvl w:val="0"/>
          <w:numId w:val="5"/>
        </w:numPr>
        <w:rPr>
          <w:sz w:val="24"/>
          <w:szCs w:val="24"/>
        </w:rPr>
      </w:pPr>
      <w:r>
        <w:rPr>
          <w:sz w:val="24"/>
          <w:szCs w:val="24"/>
        </w:rPr>
        <w:t>The average numb</w:t>
      </w:r>
      <w:r w:rsidR="00192805">
        <w:rPr>
          <w:sz w:val="24"/>
          <w:szCs w:val="24"/>
        </w:rPr>
        <w:t xml:space="preserve">er of rides </w:t>
      </w:r>
      <w:r w:rsidR="00192805">
        <w:rPr>
          <w:sz w:val="24"/>
          <w:szCs w:val="24"/>
        </w:rPr>
        <w:tab/>
      </w:r>
      <w:r w:rsidR="00192805">
        <w:rPr>
          <w:sz w:val="24"/>
          <w:szCs w:val="24"/>
        </w:rPr>
        <w:tab/>
      </w:r>
      <w:r w:rsidR="00192805">
        <w:rPr>
          <w:sz w:val="24"/>
          <w:szCs w:val="24"/>
        </w:rPr>
        <w:tab/>
      </w:r>
      <w:r w:rsidR="00192805">
        <w:rPr>
          <w:sz w:val="24"/>
          <w:szCs w:val="24"/>
        </w:rPr>
        <w:tab/>
      </w:r>
      <w:r w:rsidR="006D294F">
        <w:rPr>
          <w:sz w:val="24"/>
          <w:szCs w:val="24"/>
        </w:rPr>
        <w:t>51,044</w:t>
      </w:r>
      <w:r w:rsidR="006D294F">
        <w:rPr>
          <w:sz w:val="24"/>
          <w:szCs w:val="24"/>
        </w:rPr>
        <w:tab/>
      </w:r>
      <w:r>
        <w:rPr>
          <w:sz w:val="24"/>
          <w:szCs w:val="24"/>
        </w:rPr>
        <w:tab/>
      </w:r>
      <w:r w:rsidR="00192805">
        <w:rPr>
          <w:sz w:val="24"/>
          <w:szCs w:val="24"/>
        </w:rPr>
        <w:tab/>
      </w:r>
      <w:r>
        <w:rPr>
          <w:sz w:val="24"/>
          <w:szCs w:val="24"/>
        </w:rPr>
        <w:t>23,767</w:t>
      </w:r>
    </w:p>
    <w:p w:rsidR="00064635" w:rsidRDefault="00064635" w:rsidP="00064635">
      <w:pPr>
        <w:pStyle w:val="NoSpacing"/>
        <w:numPr>
          <w:ilvl w:val="0"/>
          <w:numId w:val="5"/>
        </w:numPr>
        <w:rPr>
          <w:sz w:val="24"/>
          <w:szCs w:val="24"/>
        </w:rPr>
      </w:pPr>
      <w:r>
        <w:rPr>
          <w:sz w:val="24"/>
          <w:szCs w:val="24"/>
        </w:rPr>
        <w:t>The median number of rides</w:t>
      </w:r>
      <w:r>
        <w:rPr>
          <w:sz w:val="24"/>
          <w:szCs w:val="24"/>
        </w:rPr>
        <w:tab/>
      </w:r>
      <w:r>
        <w:rPr>
          <w:sz w:val="24"/>
          <w:szCs w:val="24"/>
        </w:rPr>
        <w:tab/>
      </w:r>
      <w:r>
        <w:rPr>
          <w:sz w:val="24"/>
          <w:szCs w:val="24"/>
        </w:rPr>
        <w:tab/>
      </w:r>
      <w:r>
        <w:rPr>
          <w:sz w:val="24"/>
          <w:szCs w:val="24"/>
        </w:rPr>
        <w:tab/>
      </w:r>
      <w:r w:rsidR="00FA54D1">
        <w:rPr>
          <w:sz w:val="24"/>
          <w:szCs w:val="24"/>
        </w:rPr>
        <w:t>850,266</w:t>
      </w:r>
      <w:r w:rsidR="006D294F">
        <w:rPr>
          <w:sz w:val="24"/>
          <w:szCs w:val="24"/>
        </w:rPr>
        <w:tab/>
      </w:r>
      <w:r w:rsidR="00192805">
        <w:rPr>
          <w:sz w:val="24"/>
          <w:szCs w:val="24"/>
        </w:rPr>
        <w:tab/>
      </w:r>
      <w:r>
        <w:rPr>
          <w:sz w:val="24"/>
          <w:szCs w:val="24"/>
        </w:rPr>
        <w:t>106,020</w:t>
      </w:r>
    </w:p>
    <w:p w:rsidR="00E55011" w:rsidRDefault="00E55011" w:rsidP="00B711D1">
      <w:pPr>
        <w:pStyle w:val="NoSpacing"/>
        <w:ind w:left="720"/>
        <w:rPr>
          <w:sz w:val="24"/>
          <w:szCs w:val="24"/>
        </w:rPr>
      </w:pPr>
    </w:p>
    <w:p w:rsidR="00E55011" w:rsidRDefault="00E55011" w:rsidP="00E55011">
      <w:pPr>
        <w:pStyle w:val="NoSpacing"/>
        <w:rPr>
          <w:sz w:val="24"/>
          <w:szCs w:val="24"/>
        </w:rPr>
      </w:pPr>
    </w:p>
    <w:p w:rsidR="00E55011" w:rsidRDefault="00E55011" w:rsidP="00E55011">
      <w:pPr>
        <w:pStyle w:val="NoSpacing"/>
        <w:rPr>
          <w:sz w:val="24"/>
          <w:szCs w:val="24"/>
        </w:rPr>
      </w:pPr>
    </w:p>
    <w:tbl>
      <w:tblPr>
        <w:tblStyle w:val="TableGrid"/>
        <w:tblW w:w="8931" w:type="dxa"/>
        <w:tblInd w:w="738" w:type="dxa"/>
        <w:tblLook w:val="04A0"/>
      </w:tblPr>
      <w:tblGrid>
        <w:gridCol w:w="2485"/>
        <w:gridCol w:w="3223"/>
        <w:gridCol w:w="3223"/>
      </w:tblGrid>
      <w:tr w:rsidR="00E55011" w:rsidTr="008F4AA9">
        <w:trPr>
          <w:trHeight w:val="310"/>
        </w:trPr>
        <w:tc>
          <w:tcPr>
            <w:tcW w:w="2485" w:type="dxa"/>
          </w:tcPr>
          <w:p w:rsidR="00E55011" w:rsidRDefault="008F4AA9" w:rsidP="008F4AA9">
            <w:pPr>
              <w:pStyle w:val="NoSpacing"/>
              <w:rPr>
                <w:sz w:val="24"/>
                <w:szCs w:val="24"/>
              </w:rPr>
            </w:pPr>
            <w:r>
              <w:rPr>
                <w:sz w:val="24"/>
                <w:szCs w:val="24"/>
              </w:rPr>
              <w:t>2008  Recipients</w:t>
            </w:r>
            <w:r w:rsidR="00E55011">
              <w:rPr>
                <w:sz w:val="24"/>
                <w:szCs w:val="24"/>
              </w:rPr>
              <w:t xml:space="preserve">   2009</w:t>
            </w:r>
          </w:p>
        </w:tc>
        <w:tc>
          <w:tcPr>
            <w:tcW w:w="3223" w:type="dxa"/>
          </w:tcPr>
          <w:p w:rsidR="00E55011" w:rsidRDefault="00E55011" w:rsidP="008F4AA9">
            <w:pPr>
              <w:pStyle w:val="NoSpacing"/>
              <w:jc w:val="center"/>
              <w:rPr>
                <w:sz w:val="24"/>
                <w:szCs w:val="24"/>
              </w:rPr>
            </w:pPr>
            <w:r>
              <w:rPr>
                <w:sz w:val="24"/>
                <w:szCs w:val="24"/>
              </w:rPr>
              <w:t>Grouping</w:t>
            </w:r>
          </w:p>
        </w:tc>
        <w:tc>
          <w:tcPr>
            <w:tcW w:w="3223" w:type="dxa"/>
          </w:tcPr>
          <w:p w:rsidR="00E55011" w:rsidRDefault="00E55011" w:rsidP="00E55011">
            <w:pPr>
              <w:pStyle w:val="NoSpacing"/>
              <w:rPr>
                <w:sz w:val="24"/>
                <w:szCs w:val="24"/>
              </w:rPr>
            </w:pPr>
            <w:r>
              <w:rPr>
                <w:sz w:val="24"/>
                <w:szCs w:val="24"/>
              </w:rPr>
              <w:t>% 2008                   % 2009</w:t>
            </w:r>
          </w:p>
        </w:tc>
      </w:tr>
      <w:tr w:rsidR="00E55011" w:rsidTr="008F4AA9">
        <w:trPr>
          <w:trHeight w:val="320"/>
        </w:trPr>
        <w:tc>
          <w:tcPr>
            <w:tcW w:w="2485" w:type="dxa"/>
          </w:tcPr>
          <w:p w:rsidR="00E55011" w:rsidRDefault="005C1F5B" w:rsidP="008F4AA9">
            <w:pPr>
              <w:pStyle w:val="NoSpacing"/>
              <w:rPr>
                <w:sz w:val="24"/>
                <w:szCs w:val="24"/>
              </w:rPr>
            </w:pPr>
            <w:r>
              <w:rPr>
                <w:sz w:val="24"/>
                <w:szCs w:val="24"/>
              </w:rPr>
              <w:t>85                              279</w:t>
            </w:r>
          </w:p>
        </w:tc>
        <w:tc>
          <w:tcPr>
            <w:tcW w:w="3223" w:type="dxa"/>
          </w:tcPr>
          <w:p w:rsidR="00E55011" w:rsidRDefault="00E55011" w:rsidP="008F4AA9">
            <w:pPr>
              <w:pStyle w:val="NoSpacing"/>
              <w:jc w:val="center"/>
              <w:rPr>
                <w:sz w:val="24"/>
                <w:szCs w:val="24"/>
              </w:rPr>
            </w:pPr>
            <w:r>
              <w:rPr>
                <w:sz w:val="24"/>
                <w:szCs w:val="24"/>
              </w:rPr>
              <w:t>1 – 1,000</w:t>
            </w:r>
          </w:p>
        </w:tc>
        <w:tc>
          <w:tcPr>
            <w:tcW w:w="3223" w:type="dxa"/>
          </w:tcPr>
          <w:p w:rsidR="00E55011" w:rsidRDefault="005C1F5B" w:rsidP="00E55011">
            <w:pPr>
              <w:pStyle w:val="NoSpacing"/>
              <w:rPr>
                <w:sz w:val="24"/>
                <w:szCs w:val="24"/>
              </w:rPr>
            </w:pPr>
            <w:r>
              <w:rPr>
                <w:sz w:val="24"/>
                <w:szCs w:val="24"/>
              </w:rPr>
              <w:t>9                              15</w:t>
            </w:r>
          </w:p>
        </w:tc>
      </w:tr>
      <w:tr w:rsidR="00E55011" w:rsidTr="008F4AA9">
        <w:trPr>
          <w:trHeight w:val="320"/>
        </w:trPr>
        <w:tc>
          <w:tcPr>
            <w:tcW w:w="2485" w:type="dxa"/>
          </w:tcPr>
          <w:p w:rsidR="00E55011" w:rsidRDefault="005C1F5B" w:rsidP="008F4AA9">
            <w:pPr>
              <w:pStyle w:val="NoSpacing"/>
              <w:rPr>
                <w:sz w:val="24"/>
                <w:szCs w:val="24"/>
              </w:rPr>
            </w:pPr>
            <w:r>
              <w:rPr>
                <w:sz w:val="24"/>
                <w:szCs w:val="24"/>
              </w:rPr>
              <w:t>228                            507</w:t>
            </w:r>
          </w:p>
        </w:tc>
        <w:tc>
          <w:tcPr>
            <w:tcW w:w="3223" w:type="dxa"/>
          </w:tcPr>
          <w:p w:rsidR="00E55011" w:rsidRDefault="00E55011" w:rsidP="008F4AA9">
            <w:pPr>
              <w:pStyle w:val="NoSpacing"/>
              <w:jc w:val="center"/>
              <w:rPr>
                <w:sz w:val="24"/>
                <w:szCs w:val="24"/>
              </w:rPr>
            </w:pPr>
            <w:r>
              <w:rPr>
                <w:sz w:val="24"/>
                <w:szCs w:val="24"/>
              </w:rPr>
              <w:t>1,001 – 5,000</w:t>
            </w:r>
          </w:p>
        </w:tc>
        <w:tc>
          <w:tcPr>
            <w:tcW w:w="3223" w:type="dxa"/>
          </w:tcPr>
          <w:p w:rsidR="00E55011" w:rsidRDefault="005C1F5B" w:rsidP="00E55011">
            <w:pPr>
              <w:pStyle w:val="NoSpacing"/>
              <w:rPr>
                <w:sz w:val="24"/>
                <w:szCs w:val="24"/>
              </w:rPr>
            </w:pPr>
            <w:r>
              <w:rPr>
                <w:sz w:val="24"/>
                <w:szCs w:val="24"/>
              </w:rPr>
              <w:t>24                            28</w:t>
            </w:r>
          </w:p>
        </w:tc>
      </w:tr>
      <w:tr w:rsidR="00E55011" w:rsidTr="008F4AA9">
        <w:trPr>
          <w:trHeight w:val="310"/>
        </w:trPr>
        <w:tc>
          <w:tcPr>
            <w:tcW w:w="2485" w:type="dxa"/>
          </w:tcPr>
          <w:p w:rsidR="00E55011" w:rsidRDefault="005C1F5B" w:rsidP="008F4AA9">
            <w:pPr>
              <w:pStyle w:val="NoSpacing"/>
              <w:rPr>
                <w:sz w:val="24"/>
                <w:szCs w:val="24"/>
              </w:rPr>
            </w:pPr>
            <w:r>
              <w:rPr>
                <w:sz w:val="24"/>
                <w:szCs w:val="24"/>
              </w:rPr>
              <w:t>177                            314</w:t>
            </w:r>
          </w:p>
        </w:tc>
        <w:tc>
          <w:tcPr>
            <w:tcW w:w="3223" w:type="dxa"/>
          </w:tcPr>
          <w:p w:rsidR="00E55011" w:rsidRDefault="00E55011" w:rsidP="008F4AA9">
            <w:pPr>
              <w:pStyle w:val="NoSpacing"/>
              <w:jc w:val="center"/>
              <w:rPr>
                <w:sz w:val="24"/>
                <w:szCs w:val="24"/>
              </w:rPr>
            </w:pPr>
            <w:r>
              <w:rPr>
                <w:sz w:val="24"/>
                <w:szCs w:val="24"/>
              </w:rPr>
              <w:t>5,001 – 10,000</w:t>
            </w:r>
          </w:p>
        </w:tc>
        <w:tc>
          <w:tcPr>
            <w:tcW w:w="3223" w:type="dxa"/>
          </w:tcPr>
          <w:p w:rsidR="00E55011" w:rsidRDefault="005C1F5B" w:rsidP="00E55011">
            <w:pPr>
              <w:pStyle w:val="NoSpacing"/>
              <w:rPr>
                <w:sz w:val="24"/>
                <w:szCs w:val="24"/>
              </w:rPr>
            </w:pPr>
            <w:r>
              <w:rPr>
                <w:sz w:val="24"/>
                <w:szCs w:val="24"/>
              </w:rPr>
              <w:t>19                            17</w:t>
            </w:r>
          </w:p>
        </w:tc>
      </w:tr>
      <w:tr w:rsidR="00E55011" w:rsidTr="008F4AA9">
        <w:trPr>
          <w:trHeight w:val="310"/>
        </w:trPr>
        <w:tc>
          <w:tcPr>
            <w:tcW w:w="2485" w:type="dxa"/>
          </w:tcPr>
          <w:p w:rsidR="00E55011" w:rsidRDefault="005C1F5B" w:rsidP="008F4AA9">
            <w:pPr>
              <w:pStyle w:val="NoSpacing"/>
              <w:rPr>
                <w:sz w:val="24"/>
                <w:szCs w:val="24"/>
              </w:rPr>
            </w:pPr>
            <w:r>
              <w:rPr>
                <w:sz w:val="24"/>
                <w:szCs w:val="24"/>
              </w:rPr>
              <w:t>96                              169</w:t>
            </w:r>
          </w:p>
        </w:tc>
        <w:tc>
          <w:tcPr>
            <w:tcW w:w="3223" w:type="dxa"/>
          </w:tcPr>
          <w:p w:rsidR="00E55011" w:rsidRDefault="00E55011" w:rsidP="008F4AA9">
            <w:pPr>
              <w:pStyle w:val="NoSpacing"/>
              <w:jc w:val="center"/>
              <w:rPr>
                <w:sz w:val="24"/>
                <w:szCs w:val="24"/>
              </w:rPr>
            </w:pPr>
            <w:r>
              <w:rPr>
                <w:sz w:val="24"/>
                <w:szCs w:val="24"/>
              </w:rPr>
              <w:t>10,001 – 15,000</w:t>
            </w:r>
          </w:p>
        </w:tc>
        <w:tc>
          <w:tcPr>
            <w:tcW w:w="3223" w:type="dxa"/>
          </w:tcPr>
          <w:p w:rsidR="00E55011" w:rsidRDefault="005C1F5B" w:rsidP="00E55011">
            <w:pPr>
              <w:pStyle w:val="NoSpacing"/>
              <w:rPr>
                <w:sz w:val="24"/>
                <w:szCs w:val="24"/>
              </w:rPr>
            </w:pPr>
            <w:r>
              <w:rPr>
                <w:sz w:val="24"/>
                <w:szCs w:val="24"/>
              </w:rPr>
              <w:t>10                              9</w:t>
            </w:r>
          </w:p>
        </w:tc>
      </w:tr>
      <w:tr w:rsidR="00E55011" w:rsidTr="008F4AA9">
        <w:trPr>
          <w:trHeight w:val="310"/>
        </w:trPr>
        <w:tc>
          <w:tcPr>
            <w:tcW w:w="2485" w:type="dxa"/>
          </w:tcPr>
          <w:p w:rsidR="00E55011" w:rsidRDefault="005C1F5B" w:rsidP="008F4AA9">
            <w:pPr>
              <w:pStyle w:val="NoSpacing"/>
              <w:rPr>
                <w:sz w:val="24"/>
                <w:szCs w:val="24"/>
              </w:rPr>
            </w:pPr>
            <w:r>
              <w:rPr>
                <w:sz w:val="24"/>
                <w:szCs w:val="24"/>
              </w:rPr>
              <w:t xml:space="preserve">166                            236     </w:t>
            </w:r>
          </w:p>
        </w:tc>
        <w:tc>
          <w:tcPr>
            <w:tcW w:w="3223" w:type="dxa"/>
          </w:tcPr>
          <w:p w:rsidR="00E55011" w:rsidRDefault="00E55011" w:rsidP="008F4AA9">
            <w:pPr>
              <w:pStyle w:val="NoSpacing"/>
              <w:jc w:val="center"/>
              <w:rPr>
                <w:sz w:val="24"/>
                <w:szCs w:val="24"/>
              </w:rPr>
            </w:pPr>
            <w:r>
              <w:rPr>
                <w:sz w:val="24"/>
                <w:szCs w:val="24"/>
              </w:rPr>
              <w:t>15,001 – 30,000</w:t>
            </w:r>
          </w:p>
        </w:tc>
        <w:tc>
          <w:tcPr>
            <w:tcW w:w="3223" w:type="dxa"/>
          </w:tcPr>
          <w:p w:rsidR="00E55011" w:rsidRDefault="005C1F5B" w:rsidP="00E55011">
            <w:pPr>
              <w:pStyle w:val="NoSpacing"/>
              <w:rPr>
                <w:sz w:val="24"/>
                <w:szCs w:val="24"/>
              </w:rPr>
            </w:pPr>
            <w:r>
              <w:rPr>
                <w:sz w:val="24"/>
                <w:szCs w:val="24"/>
              </w:rPr>
              <w:t>18                             13</w:t>
            </w:r>
          </w:p>
        </w:tc>
      </w:tr>
      <w:tr w:rsidR="00E55011" w:rsidTr="008F4AA9">
        <w:trPr>
          <w:trHeight w:val="310"/>
        </w:trPr>
        <w:tc>
          <w:tcPr>
            <w:tcW w:w="2485" w:type="dxa"/>
          </w:tcPr>
          <w:p w:rsidR="00E55011" w:rsidRDefault="005C1F5B" w:rsidP="008F4AA9">
            <w:pPr>
              <w:pStyle w:val="NoSpacing"/>
              <w:rPr>
                <w:sz w:val="24"/>
                <w:szCs w:val="24"/>
              </w:rPr>
            </w:pPr>
            <w:r>
              <w:rPr>
                <w:sz w:val="24"/>
                <w:szCs w:val="24"/>
              </w:rPr>
              <w:t xml:space="preserve">91      </w:t>
            </w:r>
            <w:r w:rsidR="008F4AA9">
              <w:rPr>
                <w:sz w:val="24"/>
                <w:szCs w:val="24"/>
              </w:rPr>
              <w:t xml:space="preserve">                        164</w:t>
            </w:r>
            <w:r>
              <w:rPr>
                <w:sz w:val="24"/>
                <w:szCs w:val="24"/>
              </w:rPr>
              <w:t xml:space="preserve">              </w:t>
            </w:r>
          </w:p>
        </w:tc>
        <w:tc>
          <w:tcPr>
            <w:tcW w:w="3223" w:type="dxa"/>
          </w:tcPr>
          <w:p w:rsidR="00E55011" w:rsidRDefault="00E55011" w:rsidP="008F4AA9">
            <w:pPr>
              <w:pStyle w:val="NoSpacing"/>
              <w:jc w:val="center"/>
              <w:rPr>
                <w:sz w:val="24"/>
                <w:szCs w:val="24"/>
              </w:rPr>
            </w:pPr>
            <w:r>
              <w:rPr>
                <w:sz w:val="24"/>
                <w:szCs w:val="24"/>
              </w:rPr>
              <w:t>30,001 – 60,000</w:t>
            </w:r>
          </w:p>
        </w:tc>
        <w:tc>
          <w:tcPr>
            <w:tcW w:w="3223" w:type="dxa"/>
          </w:tcPr>
          <w:p w:rsidR="00E55011" w:rsidRDefault="005C1F5B" w:rsidP="00E55011">
            <w:pPr>
              <w:pStyle w:val="NoSpacing"/>
              <w:rPr>
                <w:sz w:val="24"/>
                <w:szCs w:val="24"/>
              </w:rPr>
            </w:pPr>
            <w:r>
              <w:rPr>
                <w:sz w:val="24"/>
                <w:szCs w:val="24"/>
              </w:rPr>
              <w:t>10                               9</w:t>
            </w:r>
          </w:p>
        </w:tc>
      </w:tr>
      <w:tr w:rsidR="00E55011" w:rsidTr="008F4AA9">
        <w:trPr>
          <w:trHeight w:val="320"/>
        </w:trPr>
        <w:tc>
          <w:tcPr>
            <w:tcW w:w="2485" w:type="dxa"/>
          </w:tcPr>
          <w:p w:rsidR="00E55011" w:rsidRDefault="005C1F5B" w:rsidP="008F4AA9">
            <w:pPr>
              <w:pStyle w:val="NoSpacing"/>
              <w:rPr>
                <w:sz w:val="24"/>
                <w:szCs w:val="24"/>
              </w:rPr>
            </w:pPr>
            <w:r>
              <w:rPr>
                <w:sz w:val="24"/>
                <w:szCs w:val="24"/>
              </w:rPr>
              <w:t xml:space="preserve">75                              119  </w:t>
            </w:r>
          </w:p>
        </w:tc>
        <w:tc>
          <w:tcPr>
            <w:tcW w:w="3223" w:type="dxa"/>
          </w:tcPr>
          <w:p w:rsidR="00E55011" w:rsidRDefault="00E55011" w:rsidP="008F4AA9">
            <w:pPr>
              <w:pStyle w:val="NoSpacing"/>
              <w:jc w:val="center"/>
              <w:rPr>
                <w:sz w:val="24"/>
                <w:szCs w:val="24"/>
              </w:rPr>
            </w:pPr>
            <w:r>
              <w:rPr>
                <w:sz w:val="24"/>
                <w:szCs w:val="24"/>
              </w:rPr>
              <w:t>60,001 – 200,000</w:t>
            </w:r>
          </w:p>
        </w:tc>
        <w:tc>
          <w:tcPr>
            <w:tcW w:w="3223" w:type="dxa"/>
          </w:tcPr>
          <w:p w:rsidR="00E55011" w:rsidRDefault="005C1F5B" w:rsidP="00E55011">
            <w:pPr>
              <w:pStyle w:val="NoSpacing"/>
              <w:rPr>
                <w:sz w:val="24"/>
                <w:szCs w:val="24"/>
              </w:rPr>
            </w:pPr>
            <w:r>
              <w:rPr>
                <w:sz w:val="24"/>
                <w:szCs w:val="24"/>
              </w:rPr>
              <w:t xml:space="preserve">   8                               7</w:t>
            </w:r>
          </w:p>
        </w:tc>
      </w:tr>
      <w:tr w:rsidR="00E55011" w:rsidTr="008F4AA9">
        <w:trPr>
          <w:trHeight w:val="320"/>
        </w:trPr>
        <w:tc>
          <w:tcPr>
            <w:tcW w:w="2485" w:type="dxa"/>
          </w:tcPr>
          <w:p w:rsidR="00E55011" w:rsidRDefault="005C1F5B" w:rsidP="008F4AA9">
            <w:pPr>
              <w:pStyle w:val="NoSpacing"/>
              <w:rPr>
                <w:sz w:val="24"/>
                <w:szCs w:val="24"/>
              </w:rPr>
            </w:pPr>
            <w:r>
              <w:rPr>
                <w:sz w:val="24"/>
                <w:szCs w:val="24"/>
              </w:rPr>
              <w:t>15                                3</w:t>
            </w:r>
            <w:r w:rsidR="008F4AA9">
              <w:rPr>
                <w:sz w:val="24"/>
                <w:szCs w:val="24"/>
              </w:rPr>
              <w:t>6</w:t>
            </w:r>
          </w:p>
        </w:tc>
        <w:tc>
          <w:tcPr>
            <w:tcW w:w="3223" w:type="dxa"/>
          </w:tcPr>
          <w:p w:rsidR="00E55011" w:rsidRDefault="00E55011" w:rsidP="008F4AA9">
            <w:pPr>
              <w:pStyle w:val="NoSpacing"/>
              <w:jc w:val="center"/>
              <w:rPr>
                <w:sz w:val="24"/>
                <w:szCs w:val="24"/>
              </w:rPr>
            </w:pPr>
            <w:r>
              <w:rPr>
                <w:sz w:val="24"/>
                <w:szCs w:val="24"/>
              </w:rPr>
              <w:t>200,001 - Plus</w:t>
            </w:r>
          </w:p>
        </w:tc>
        <w:tc>
          <w:tcPr>
            <w:tcW w:w="3223" w:type="dxa"/>
          </w:tcPr>
          <w:p w:rsidR="00E55011" w:rsidRDefault="005C1F5B" w:rsidP="00E55011">
            <w:pPr>
              <w:pStyle w:val="NoSpacing"/>
              <w:rPr>
                <w:sz w:val="24"/>
                <w:szCs w:val="24"/>
              </w:rPr>
            </w:pPr>
            <w:r>
              <w:rPr>
                <w:sz w:val="24"/>
                <w:szCs w:val="24"/>
              </w:rPr>
              <w:t xml:space="preserve">   2                               2</w:t>
            </w:r>
          </w:p>
        </w:tc>
      </w:tr>
      <w:tr w:rsidR="00E55011" w:rsidTr="008F4AA9">
        <w:trPr>
          <w:trHeight w:val="320"/>
        </w:trPr>
        <w:tc>
          <w:tcPr>
            <w:tcW w:w="2485" w:type="dxa"/>
          </w:tcPr>
          <w:p w:rsidR="00E55011" w:rsidRDefault="00E55011" w:rsidP="008F4AA9">
            <w:pPr>
              <w:pStyle w:val="NoSpacing"/>
              <w:rPr>
                <w:sz w:val="24"/>
                <w:szCs w:val="24"/>
              </w:rPr>
            </w:pPr>
            <w:r>
              <w:rPr>
                <w:sz w:val="24"/>
                <w:szCs w:val="24"/>
              </w:rPr>
              <w:t>Total</w:t>
            </w:r>
            <w:r w:rsidR="005C1F5B">
              <w:rPr>
                <w:sz w:val="24"/>
                <w:szCs w:val="24"/>
              </w:rPr>
              <w:t xml:space="preserve">  933             1,82</w:t>
            </w:r>
            <w:r w:rsidR="008F4AA9">
              <w:rPr>
                <w:sz w:val="24"/>
                <w:szCs w:val="24"/>
              </w:rPr>
              <w:t>4</w:t>
            </w:r>
          </w:p>
        </w:tc>
        <w:tc>
          <w:tcPr>
            <w:tcW w:w="3223" w:type="dxa"/>
          </w:tcPr>
          <w:p w:rsidR="00E55011" w:rsidRDefault="00E55011" w:rsidP="005C1F5B">
            <w:pPr>
              <w:pStyle w:val="NoSpacing"/>
              <w:rPr>
                <w:sz w:val="24"/>
                <w:szCs w:val="24"/>
              </w:rPr>
            </w:pPr>
          </w:p>
        </w:tc>
        <w:tc>
          <w:tcPr>
            <w:tcW w:w="3223" w:type="dxa"/>
          </w:tcPr>
          <w:p w:rsidR="00E55011" w:rsidRDefault="00E55011" w:rsidP="00E55011">
            <w:pPr>
              <w:pStyle w:val="NoSpacing"/>
              <w:rPr>
                <w:sz w:val="24"/>
                <w:szCs w:val="24"/>
              </w:rPr>
            </w:pPr>
            <w:r>
              <w:rPr>
                <w:sz w:val="24"/>
                <w:szCs w:val="24"/>
              </w:rPr>
              <w:t>100%                         100%</w:t>
            </w:r>
          </w:p>
        </w:tc>
      </w:tr>
    </w:tbl>
    <w:p w:rsidR="00E55011" w:rsidRPr="00E55011" w:rsidRDefault="00E55011" w:rsidP="00E55011">
      <w:pPr>
        <w:pStyle w:val="NoSpacing"/>
        <w:rPr>
          <w:sz w:val="24"/>
          <w:szCs w:val="24"/>
        </w:rPr>
      </w:pPr>
    </w:p>
    <w:p w:rsidR="00064635" w:rsidRDefault="00064635" w:rsidP="006B4819">
      <w:pPr>
        <w:pStyle w:val="NoSpacing"/>
        <w:rPr>
          <w:sz w:val="24"/>
          <w:szCs w:val="24"/>
        </w:rPr>
      </w:pPr>
    </w:p>
    <w:p w:rsidR="006B4819" w:rsidRDefault="006B4819" w:rsidP="006B4819">
      <w:pPr>
        <w:pStyle w:val="NoSpacing"/>
        <w:rPr>
          <w:sz w:val="24"/>
          <w:szCs w:val="24"/>
        </w:rPr>
      </w:pPr>
      <w:r>
        <w:rPr>
          <w:b/>
          <w:sz w:val="24"/>
          <w:szCs w:val="24"/>
        </w:rPr>
        <w:t>Geographic Coverage of the Section 5310 Program</w:t>
      </w:r>
    </w:p>
    <w:p w:rsidR="006B4819" w:rsidRDefault="006B4819" w:rsidP="006B4819">
      <w:pPr>
        <w:pStyle w:val="NoSpacing"/>
        <w:rPr>
          <w:sz w:val="24"/>
          <w:szCs w:val="24"/>
        </w:rPr>
      </w:pPr>
    </w:p>
    <w:p w:rsidR="006B4819" w:rsidRDefault="006B4819" w:rsidP="006B4819">
      <w:pPr>
        <w:pStyle w:val="NoSpacing"/>
        <w:numPr>
          <w:ilvl w:val="0"/>
          <w:numId w:val="6"/>
        </w:numPr>
        <w:rPr>
          <w:sz w:val="24"/>
          <w:szCs w:val="24"/>
        </w:rPr>
      </w:pPr>
      <w:r>
        <w:rPr>
          <w:sz w:val="24"/>
          <w:szCs w:val="24"/>
        </w:rPr>
        <w:t xml:space="preserve">The total number of counties </w:t>
      </w:r>
      <w:r w:rsidR="00B711D1">
        <w:rPr>
          <w:sz w:val="24"/>
          <w:szCs w:val="24"/>
        </w:rPr>
        <w:t xml:space="preserve">in states </w:t>
      </w:r>
      <w:r w:rsidR="00C86263">
        <w:rPr>
          <w:sz w:val="24"/>
          <w:szCs w:val="24"/>
        </w:rPr>
        <w:t xml:space="preserve">reporting </w:t>
      </w:r>
      <w:r>
        <w:rPr>
          <w:sz w:val="24"/>
          <w:szCs w:val="24"/>
        </w:rPr>
        <w:t>Sec. 5310 service in FY 2008</w:t>
      </w:r>
      <w:r w:rsidR="00C86263">
        <w:rPr>
          <w:sz w:val="24"/>
          <w:szCs w:val="24"/>
        </w:rPr>
        <w:t>:</w:t>
      </w:r>
    </w:p>
    <w:p w:rsidR="006B4819" w:rsidRPr="006B4819" w:rsidRDefault="00C86263" w:rsidP="006B4819">
      <w:pPr>
        <w:pStyle w:val="NoSpacing"/>
        <w:ind w:left="720"/>
        <w:rPr>
          <w:sz w:val="24"/>
          <w:szCs w:val="24"/>
        </w:rPr>
      </w:pPr>
      <w:r>
        <w:rPr>
          <w:sz w:val="24"/>
          <w:szCs w:val="24"/>
        </w:rPr>
        <w:t>862</w:t>
      </w:r>
      <w:r w:rsidR="00467C52">
        <w:rPr>
          <w:sz w:val="24"/>
          <w:szCs w:val="24"/>
        </w:rPr>
        <w:t xml:space="preserve"> </w:t>
      </w:r>
      <w:r w:rsidR="00347AF8">
        <w:rPr>
          <w:sz w:val="24"/>
          <w:szCs w:val="24"/>
        </w:rPr>
        <w:t xml:space="preserve">counties </w:t>
      </w:r>
      <w:r w:rsidR="00467C52">
        <w:rPr>
          <w:sz w:val="24"/>
          <w:szCs w:val="24"/>
        </w:rPr>
        <w:t xml:space="preserve">out of </w:t>
      </w:r>
      <w:r>
        <w:rPr>
          <w:sz w:val="24"/>
          <w:szCs w:val="24"/>
        </w:rPr>
        <w:t>975 or 88%.</w:t>
      </w:r>
    </w:p>
    <w:p w:rsidR="00B711D1" w:rsidRDefault="006B4819" w:rsidP="006B4819">
      <w:pPr>
        <w:pStyle w:val="NoSpacing"/>
        <w:numPr>
          <w:ilvl w:val="0"/>
          <w:numId w:val="6"/>
        </w:numPr>
        <w:rPr>
          <w:sz w:val="24"/>
          <w:szCs w:val="24"/>
        </w:rPr>
      </w:pPr>
      <w:r w:rsidRPr="00B711D1">
        <w:rPr>
          <w:sz w:val="24"/>
          <w:szCs w:val="24"/>
        </w:rPr>
        <w:t>The total nu</w:t>
      </w:r>
      <w:r w:rsidR="00C86263" w:rsidRPr="00B711D1">
        <w:rPr>
          <w:sz w:val="24"/>
          <w:szCs w:val="24"/>
        </w:rPr>
        <w:t xml:space="preserve">mber of counties </w:t>
      </w:r>
      <w:r w:rsidR="00B711D1" w:rsidRPr="00B711D1">
        <w:rPr>
          <w:sz w:val="24"/>
          <w:szCs w:val="24"/>
        </w:rPr>
        <w:t xml:space="preserve">in states </w:t>
      </w:r>
      <w:r w:rsidR="00C86263" w:rsidRPr="00B711D1">
        <w:rPr>
          <w:sz w:val="24"/>
          <w:szCs w:val="24"/>
        </w:rPr>
        <w:t xml:space="preserve">reporting </w:t>
      </w:r>
      <w:r w:rsidRPr="00B711D1">
        <w:rPr>
          <w:sz w:val="24"/>
          <w:szCs w:val="24"/>
        </w:rPr>
        <w:t>Sec. 5310 service in FY 2009</w:t>
      </w:r>
      <w:r w:rsidR="00C86263" w:rsidRPr="00B711D1">
        <w:rPr>
          <w:sz w:val="24"/>
          <w:szCs w:val="24"/>
        </w:rPr>
        <w:t>:</w:t>
      </w:r>
      <w:r w:rsidRPr="00B711D1">
        <w:rPr>
          <w:sz w:val="24"/>
          <w:szCs w:val="24"/>
        </w:rPr>
        <w:tab/>
      </w:r>
    </w:p>
    <w:p w:rsidR="006B4819" w:rsidRPr="00B711D1" w:rsidRDefault="00B711D1" w:rsidP="00B711D1">
      <w:pPr>
        <w:pStyle w:val="NoSpacing"/>
        <w:ind w:left="720"/>
        <w:rPr>
          <w:sz w:val="24"/>
          <w:szCs w:val="24"/>
        </w:rPr>
      </w:pPr>
      <w:r w:rsidRPr="00B711D1">
        <w:rPr>
          <w:sz w:val="24"/>
          <w:szCs w:val="24"/>
        </w:rPr>
        <w:t>1,320 counties out of 1,829 or 72</w:t>
      </w:r>
      <w:r w:rsidR="006B4819" w:rsidRPr="00B711D1">
        <w:rPr>
          <w:sz w:val="24"/>
          <w:szCs w:val="24"/>
        </w:rPr>
        <w:t>%</w:t>
      </w:r>
      <w:r w:rsidR="00C86263" w:rsidRPr="00B711D1">
        <w:rPr>
          <w:sz w:val="24"/>
          <w:szCs w:val="24"/>
        </w:rPr>
        <w:t>.</w:t>
      </w:r>
    </w:p>
    <w:p w:rsidR="00B21C71" w:rsidRDefault="00B21C71" w:rsidP="00B711D1">
      <w:pPr>
        <w:rPr>
          <w:b/>
          <w:sz w:val="24"/>
          <w:szCs w:val="24"/>
        </w:rPr>
      </w:pPr>
    </w:p>
    <w:p w:rsidR="00B711D1" w:rsidRDefault="00B711D1" w:rsidP="00B711D1">
      <w:pPr>
        <w:rPr>
          <w:b/>
          <w:sz w:val="24"/>
          <w:szCs w:val="24"/>
        </w:rPr>
      </w:pPr>
    </w:p>
    <w:p w:rsidR="00B711D1" w:rsidRDefault="00B711D1" w:rsidP="00B711D1">
      <w:pPr>
        <w:rPr>
          <w:sz w:val="24"/>
          <w:szCs w:val="24"/>
        </w:rPr>
      </w:pPr>
      <w:r>
        <w:rPr>
          <w:sz w:val="24"/>
          <w:szCs w:val="24"/>
        </w:rPr>
        <w:lastRenderedPageBreak/>
        <w:t>States with the</w:t>
      </w:r>
      <w:r w:rsidR="00477CD4">
        <w:rPr>
          <w:sz w:val="24"/>
          <w:szCs w:val="24"/>
        </w:rPr>
        <w:t xml:space="preserve"> top 25 subrecipients </w:t>
      </w:r>
      <w:r>
        <w:rPr>
          <w:sz w:val="24"/>
          <w:szCs w:val="24"/>
        </w:rPr>
        <w:t>with the most trips:</w:t>
      </w:r>
    </w:p>
    <w:p w:rsidR="00192805" w:rsidRDefault="000C0B49" w:rsidP="00192805">
      <w:pPr>
        <w:ind w:left="360"/>
        <w:rPr>
          <w:sz w:val="24"/>
          <w:szCs w:val="24"/>
        </w:rPr>
      </w:pPr>
      <w:r w:rsidRPr="00192805">
        <w:rPr>
          <w:sz w:val="24"/>
          <w:szCs w:val="24"/>
        </w:rPr>
        <w:t xml:space="preserve"> </w:t>
      </w:r>
      <w:r w:rsidR="00192805">
        <w:rPr>
          <w:sz w:val="24"/>
          <w:szCs w:val="24"/>
        </w:rPr>
        <w:t xml:space="preserve">1.  </w:t>
      </w:r>
      <w:r w:rsidRPr="00192805">
        <w:rPr>
          <w:sz w:val="24"/>
          <w:szCs w:val="24"/>
        </w:rPr>
        <w:t>I</w:t>
      </w:r>
      <w:r w:rsidR="00B711D1" w:rsidRPr="00192805">
        <w:rPr>
          <w:sz w:val="24"/>
          <w:szCs w:val="24"/>
        </w:rPr>
        <w:t>llinois</w:t>
      </w:r>
      <w:r w:rsidR="00B711D1" w:rsidRPr="00192805">
        <w:rPr>
          <w:sz w:val="24"/>
          <w:szCs w:val="24"/>
        </w:rPr>
        <w:tab/>
      </w:r>
      <w:r w:rsidR="00477CD4" w:rsidRPr="00192805">
        <w:rPr>
          <w:sz w:val="24"/>
          <w:szCs w:val="24"/>
        </w:rPr>
        <w:t>- 9</w:t>
      </w:r>
      <w:r w:rsidRPr="00192805">
        <w:rPr>
          <w:sz w:val="24"/>
          <w:szCs w:val="24"/>
        </w:rPr>
        <w:tab/>
      </w:r>
      <w:r w:rsidRPr="00192805">
        <w:rPr>
          <w:sz w:val="24"/>
          <w:szCs w:val="24"/>
        </w:rPr>
        <w:tab/>
        <w:t>2.  Iowa – 4</w:t>
      </w:r>
      <w:r w:rsidRPr="00192805">
        <w:rPr>
          <w:sz w:val="24"/>
          <w:szCs w:val="24"/>
        </w:rPr>
        <w:tab/>
      </w:r>
      <w:r w:rsidRPr="00192805">
        <w:rPr>
          <w:sz w:val="24"/>
          <w:szCs w:val="24"/>
        </w:rPr>
        <w:tab/>
      </w:r>
      <w:r w:rsidRPr="00192805">
        <w:rPr>
          <w:sz w:val="24"/>
          <w:szCs w:val="24"/>
        </w:rPr>
        <w:tab/>
        <w:t>3. Vermont – 3</w:t>
      </w:r>
    </w:p>
    <w:p w:rsidR="00477CD4" w:rsidRDefault="000C0B49" w:rsidP="00192805">
      <w:pPr>
        <w:ind w:left="360"/>
        <w:rPr>
          <w:sz w:val="24"/>
          <w:szCs w:val="24"/>
        </w:rPr>
      </w:pPr>
      <w:r w:rsidRPr="000C0B49">
        <w:rPr>
          <w:sz w:val="24"/>
          <w:szCs w:val="24"/>
        </w:rPr>
        <w:t>4.</w:t>
      </w:r>
      <w:r>
        <w:rPr>
          <w:sz w:val="24"/>
          <w:szCs w:val="24"/>
        </w:rPr>
        <w:t xml:space="preserve">    Oregon – 2</w:t>
      </w:r>
      <w:r>
        <w:rPr>
          <w:sz w:val="24"/>
          <w:szCs w:val="24"/>
        </w:rPr>
        <w:tab/>
      </w:r>
      <w:r>
        <w:rPr>
          <w:sz w:val="24"/>
          <w:szCs w:val="24"/>
        </w:rPr>
        <w:tab/>
        <w:t>5.  Florida – 2</w:t>
      </w:r>
      <w:r>
        <w:rPr>
          <w:sz w:val="24"/>
          <w:szCs w:val="24"/>
        </w:rPr>
        <w:tab/>
      </w:r>
      <w:r>
        <w:rPr>
          <w:sz w:val="24"/>
          <w:szCs w:val="24"/>
        </w:rPr>
        <w:tab/>
      </w:r>
      <w:r>
        <w:rPr>
          <w:sz w:val="24"/>
          <w:szCs w:val="24"/>
        </w:rPr>
        <w:tab/>
        <w:t>6.  Wyoming – 2</w:t>
      </w:r>
    </w:p>
    <w:p w:rsidR="00192805" w:rsidRPr="00192805" w:rsidRDefault="00192805" w:rsidP="00192805">
      <w:pPr>
        <w:pStyle w:val="NoSpacing"/>
        <w:ind w:left="360"/>
        <w:rPr>
          <w:sz w:val="24"/>
          <w:szCs w:val="24"/>
        </w:rPr>
      </w:pPr>
      <w:r>
        <w:rPr>
          <w:sz w:val="24"/>
          <w:szCs w:val="24"/>
        </w:rPr>
        <w:t>7.  New York -1</w:t>
      </w:r>
      <w:r>
        <w:rPr>
          <w:sz w:val="24"/>
          <w:szCs w:val="24"/>
        </w:rPr>
        <w:tab/>
      </w:r>
      <w:r>
        <w:rPr>
          <w:sz w:val="24"/>
          <w:szCs w:val="24"/>
        </w:rPr>
        <w:tab/>
        <w:t>8.  Montana – 1</w:t>
      </w:r>
      <w:r>
        <w:rPr>
          <w:sz w:val="24"/>
          <w:szCs w:val="24"/>
        </w:rPr>
        <w:tab/>
      </w:r>
      <w:r>
        <w:rPr>
          <w:sz w:val="24"/>
          <w:szCs w:val="24"/>
        </w:rPr>
        <w:tab/>
        <w:t>9.  Mississippi - 1</w:t>
      </w:r>
    </w:p>
    <w:p w:rsidR="002861EB" w:rsidRPr="00192805" w:rsidRDefault="002861EB" w:rsidP="00192805">
      <w:pPr>
        <w:rPr>
          <w:sz w:val="24"/>
          <w:szCs w:val="24"/>
        </w:rPr>
      </w:pPr>
    </w:p>
    <w:p w:rsidR="002861EB" w:rsidRDefault="002861EB" w:rsidP="002861EB">
      <w:pPr>
        <w:pStyle w:val="ListParagraph"/>
        <w:rPr>
          <w:sz w:val="24"/>
          <w:szCs w:val="24"/>
        </w:rPr>
      </w:pPr>
      <w:r>
        <w:rPr>
          <w:noProof/>
          <w:sz w:val="24"/>
          <w:szCs w:val="24"/>
        </w:rPr>
        <w:drawing>
          <wp:inline distT="0" distB="0" distL="0" distR="0">
            <wp:extent cx="4041956" cy="2351314"/>
            <wp:effectExtent l="19050" t="0" r="1569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77CD4" w:rsidRDefault="00477CD4" w:rsidP="00477CD4">
      <w:pPr>
        <w:rPr>
          <w:sz w:val="24"/>
          <w:szCs w:val="24"/>
        </w:rPr>
      </w:pPr>
      <w:r>
        <w:rPr>
          <w:sz w:val="24"/>
          <w:szCs w:val="24"/>
        </w:rPr>
        <w:t xml:space="preserve">States with the top 25 subrecipients with the most </w:t>
      </w:r>
      <w:r w:rsidR="00803794">
        <w:rPr>
          <w:sz w:val="24"/>
          <w:szCs w:val="24"/>
        </w:rPr>
        <w:t>individuals served:</w:t>
      </w:r>
    </w:p>
    <w:p w:rsidR="00803794" w:rsidRDefault="00803794" w:rsidP="00803794">
      <w:pPr>
        <w:pStyle w:val="ListParagraph"/>
        <w:numPr>
          <w:ilvl w:val="0"/>
          <w:numId w:val="8"/>
        </w:numPr>
        <w:rPr>
          <w:sz w:val="24"/>
          <w:szCs w:val="24"/>
        </w:rPr>
      </w:pPr>
      <w:r>
        <w:rPr>
          <w:sz w:val="24"/>
          <w:szCs w:val="24"/>
        </w:rPr>
        <w:t>Texas – 19</w:t>
      </w:r>
    </w:p>
    <w:p w:rsidR="00803794" w:rsidRDefault="00803794" w:rsidP="00803794">
      <w:pPr>
        <w:pStyle w:val="ListParagraph"/>
        <w:numPr>
          <w:ilvl w:val="0"/>
          <w:numId w:val="8"/>
        </w:numPr>
        <w:rPr>
          <w:sz w:val="24"/>
          <w:szCs w:val="24"/>
        </w:rPr>
      </w:pPr>
      <w:r>
        <w:rPr>
          <w:sz w:val="24"/>
          <w:szCs w:val="24"/>
        </w:rPr>
        <w:t>Connecticut – 4</w:t>
      </w:r>
    </w:p>
    <w:p w:rsidR="00803794" w:rsidRDefault="00803794" w:rsidP="00803794">
      <w:pPr>
        <w:pStyle w:val="ListParagraph"/>
        <w:numPr>
          <w:ilvl w:val="0"/>
          <w:numId w:val="8"/>
        </w:numPr>
        <w:rPr>
          <w:sz w:val="24"/>
          <w:szCs w:val="24"/>
        </w:rPr>
      </w:pPr>
      <w:r>
        <w:rPr>
          <w:sz w:val="24"/>
          <w:szCs w:val="24"/>
        </w:rPr>
        <w:t xml:space="preserve">Michigan – 2 </w:t>
      </w:r>
    </w:p>
    <w:p w:rsidR="00427BB4" w:rsidRPr="00427BB4" w:rsidRDefault="00427BB4" w:rsidP="00427BB4">
      <w:pPr>
        <w:rPr>
          <w:sz w:val="24"/>
          <w:szCs w:val="24"/>
        </w:rPr>
      </w:pPr>
      <w:r w:rsidRPr="00427BB4">
        <w:rPr>
          <w:b/>
          <w:sz w:val="24"/>
          <w:szCs w:val="24"/>
        </w:rPr>
        <w:t>Year–</w:t>
      </w:r>
      <w:r>
        <w:rPr>
          <w:b/>
          <w:sz w:val="24"/>
          <w:szCs w:val="24"/>
        </w:rPr>
        <w:t>to</w:t>
      </w:r>
      <w:r w:rsidRPr="00427BB4">
        <w:rPr>
          <w:b/>
          <w:sz w:val="24"/>
          <w:szCs w:val="24"/>
        </w:rPr>
        <w:t>–Year Comp</w:t>
      </w:r>
      <w:r>
        <w:rPr>
          <w:b/>
          <w:sz w:val="24"/>
          <w:szCs w:val="24"/>
        </w:rPr>
        <w:t>a</w:t>
      </w:r>
      <w:r w:rsidRPr="00427BB4">
        <w:rPr>
          <w:b/>
          <w:sz w:val="24"/>
          <w:szCs w:val="24"/>
        </w:rPr>
        <w:t>risons</w:t>
      </w:r>
      <w:r>
        <w:rPr>
          <w:b/>
          <w:sz w:val="24"/>
          <w:szCs w:val="24"/>
        </w:rPr>
        <w:t xml:space="preserve">:  </w:t>
      </w:r>
      <w:r>
        <w:rPr>
          <w:sz w:val="24"/>
          <w:szCs w:val="24"/>
        </w:rPr>
        <w:t xml:space="preserve">Although FTA has requested ridership information from all of the recipients and their subrecipients, not all grantees provided the requested data each year. Therefore, it is important to take this into consideration when making year-to-year comparisons.  For example, if a </w:t>
      </w:r>
      <w:r w:rsidR="00D25FAC">
        <w:rPr>
          <w:sz w:val="24"/>
          <w:szCs w:val="24"/>
        </w:rPr>
        <w:t>subrecipient reported service in several counties in FY: 2009 but did not provide a report in FY: 2008, the number of counties serviced will be higher yet, there may not have been an increase in the number of counties served in</w:t>
      </w:r>
      <w:r w:rsidR="00F64A0A">
        <w:rPr>
          <w:sz w:val="24"/>
          <w:szCs w:val="24"/>
        </w:rPr>
        <w:t xml:space="preserve"> FY: 2009.   While recognizing</w:t>
      </w:r>
      <w:r w:rsidR="00D25FAC">
        <w:rPr>
          <w:sz w:val="24"/>
          <w:szCs w:val="24"/>
        </w:rPr>
        <w:t xml:space="preserve"> this consideration, the data</w:t>
      </w:r>
      <w:r w:rsidR="00F64A0A">
        <w:rPr>
          <w:sz w:val="24"/>
          <w:szCs w:val="24"/>
        </w:rPr>
        <w:t xml:space="preserve"> collected still depicts an overall portrait of the program’s service.</w:t>
      </w:r>
    </w:p>
    <w:p w:rsidR="00477CD4" w:rsidRPr="00B711D1" w:rsidRDefault="00477CD4" w:rsidP="00477CD4">
      <w:pPr>
        <w:pStyle w:val="ListParagraph"/>
        <w:rPr>
          <w:sz w:val="24"/>
          <w:szCs w:val="24"/>
        </w:rPr>
      </w:pPr>
    </w:p>
    <w:sectPr w:rsidR="00477CD4" w:rsidRPr="00B711D1" w:rsidSect="00C822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21E7"/>
    <w:multiLevelType w:val="hybridMultilevel"/>
    <w:tmpl w:val="BD98E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3774C"/>
    <w:multiLevelType w:val="hybridMultilevel"/>
    <w:tmpl w:val="F16435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7663BE"/>
    <w:multiLevelType w:val="hybridMultilevel"/>
    <w:tmpl w:val="62D2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A4BD9"/>
    <w:multiLevelType w:val="hybridMultilevel"/>
    <w:tmpl w:val="FD7C2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E9417E"/>
    <w:multiLevelType w:val="hybridMultilevel"/>
    <w:tmpl w:val="977AC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E94004"/>
    <w:multiLevelType w:val="hybridMultilevel"/>
    <w:tmpl w:val="FE70B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9F4287"/>
    <w:multiLevelType w:val="hybridMultilevel"/>
    <w:tmpl w:val="D454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E64B1"/>
    <w:multiLevelType w:val="hybridMultilevel"/>
    <w:tmpl w:val="3496E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6"/>
  </w:num>
  <w:num w:numId="6">
    <w:abstractNumId w:val="2"/>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proofState w:spelling="clean" w:grammar="clean"/>
  <w:defaultTabStop w:val="720"/>
  <w:characterSpacingControl w:val="doNotCompress"/>
  <w:compat/>
  <w:rsids>
    <w:rsidRoot w:val="00B21C71"/>
    <w:rsid w:val="00064635"/>
    <w:rsid w:val="00077017"/>
    <w:rsid w:val="000C0B49"/>
    <w:rsid w:val="00192805"/>
    <w:rsid w:val="001952D0"/>
    <w:rsid w:val="00244877"/>
    <w:rsid w:val="002861EB"/>
    <w:rsid w:val="00347AF8"/>
    <w:rsid w:val="00401367"/>
    <w:rsid w:val="004121B5"/>
    <w:rsid w:val="00427BB4"/>
    <w:rsid w:val="00467C52"/>
    <w:rsid w:val="00477CD4"/>
    <w:rsid w:val="004D262E"/>
    <w:rsid w:val="00517159"/>
    <w:rsid w:val="005C1F5B"/>
    <w:rsid w:val="005C446E"/>
    <w:rsid w:val="006159FD"/>
    <w:rsid w:val="006B4819"/>
    <w:rsid w:val="006D294F"/>
    <w:rsid w:val="006E7418"/>
    <w:rsid w:val="00803794"/>
    <w:rsid w:val="00856CE8"/>
    <w:rsid w:val="008D3033"/>
    <w:rsid w:val="008F4AA9"/>
    <w:rsid w:val="009B6FCB"/>
    <w:rsid w:val="00A15187"/>
    <w:rsid w:val="00A53D6E"/>
    <w:rsid w:val="00A97474"/>
    <w:rsid w:val="00B11079"/>
    <w:rsid w:val="00B21C71"/>
    <w:rsid w:val="00B711D1"/>
    <w:rsid w:val="00C82242"/>
    <w:rsid w:val="00C86263"/>
    <w:rsid w:val="00D25FAC"/>
    <w:rsid w:val="00E22BDF"/>
    <w:rsid w:val="00E55011"/>
    <w:rsid w:val="00E5739A"/>
    <w:rsid w:val="00EA5F68"/>
    <w:rsid w:val="00F64A0A"/>
    <w:rsid w:val="00FA54D1"/>
    <w:rsid w:val="00FC6C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242"/>
  </w:style>
  <w:style w:type="paragraph" w:styleId="Heading1">
    <w:name w:val="heading 1"/>
    <w:basedOn w:val="Normal"/>
    <w:next w:val="Normal"/>
    <w:link w:val="Heading1Char"/>
    <w:uiPriority w:val="9"/>
    <w:qFormat/>
    <w:rsid w:val="000C0B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B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0B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1C71"/>
    <w:pPr>
      <w:spacing w:after="0" w:line="240" w:lineRule="auto"/>
    </w:pPr>
  </w:style>
  <w:style w:type="table" w:styleId="TableGrid">
    <w:name w:val="Table Grid"/>
    <w:basedOn w:val="TableNormal"/>
    <w:uiPriority w:val="59"/>
    <w:rsid w:val="004121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711D1"/>
    <w:pPr>
      <w:ind w:left="720"/>
      <w:contextualSpacing/>
    </w:pPr>
  </w:style>
  <w:style w:type="paragraph" w:styleId="BalloonText">
    <w:name w:val="Balloon Text"/>
    <w:basedOn w:val="Normal"/>
    <w:link w:val="BalloonTextChar"/>
    <w:uiPriority w:val="99"/>
    <w:semiHidden/>
    <w:unhideWhenUsed/>
    <w:rsid w:val="00803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794"/>
    <w:rPr>
      <w:rFonts w:ascii="Tahoma" w:hAnsi="Tahoma" w:cs="Tahoma"/>
      <w:sz w:val="16"/>
      <w:szCs w:val="16"/>
    </w:rPr>
  </w:style>
  <w:style w:type="character" w:customStyle="1" w:styleId="Heading1Char">
    <w:name w:val="Heading 1 Char"/>
    <w:basedOn w:val="DefaultParagraphFont"/>
    <w:link w:val="Heading1"/>
    <w:uiPriority w:val="9"/>
    <w:rsid w:val="000C0B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0B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0B4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view3D>
      <c:rAngAx val="1"/>
    </c:view3D>
    <c:plotArea>
      <c:layout/>
      <c:bar3DChart>
        <c:barDir val="col"/>
        <c:grouping val="clustered"/>
        <c:ser>
          <c:idx val="0"/>
          <c:order val="0"/>
          <c:tx>
            <c:strRef>
              <c:f>Sheet1!$B$1</c:f>
              <c:strCache>
                <c:ptCount val="1"/>
                <c:pt idx="0">
                  <c:v>Series 1</c:v>
                </c:pt>
              </c:strCache>
            </c:strRef>
          </c:tx>
          <c:cat>
            <c:strRef>
              <c:f>Sheet1!$A$2:$A$11</c:f>
              <c:strCache>
                <c:ptCount val="9"/>
                <c:pt idx="0">
                  <c:v>Mississippi</c:v>
                </c:pt>
                <c:pt idx="1">
                  <c:v>Montana</c:v>
                </c:pt>
                <c:pt idx="2">
                  <c:v>New York</c:v>
                </c:pt>
                <c:pt idx="3">
                  <c:v>Wyoming</c:v>
                </c:pt>
                <c:pt idx="4">
                  <c:v>Florida</c:v>
                </c:pt>
                <c:pt idx="5">
                  <c:v>Oregon</c:v>
                </c:pt>
                <c:pt idx="6">
                  <c:v>Vermont</c:v>
                </c:pt>
                <c:pt idx="7">
                  <c:v>Iowa</c:v>
                </c:pt>
                <c:pt idx="8">
                  <c:v>Illinois</c:v>
                </c:pt>
              </c:strCache>
            </c:strRef>
          </c:cat>
          <c:val>
            <c:numRef>
              <c:f>Sheet1!$B$2:$B$11</c:f>
              <c:numCache>
                <c:formatCode>General</c:formatCode>
                <c:ptCount val="10"/>
                <c:pt idx="0">
                  <c:v>1</c:v>
                </c:pt>
                <c:pt idx="1">
                  <c:v>1</c:v>
                </c:pt>
                <c:pt idx="2">
                  <c:v>1</c:v>
                </c:pt>
                <c:pt idx="3">
                  <c:v>2</c:v>
                </c:pt>
                <c:pt idx="4">
                  <c:v>2</c:v>
                </c:pt>
                <c:pt idx="5">
                  <c:v>2</c:v>
                </c:pt>
                <c:pt idx="6">
                  <c:v>3</c:v>
                </c:pt>
                <c:pt idx="7">
                  <c:v>4</c:v>
                </c:pt>
                <c:pt idx="8">
                  <c:v>9</c:v>
                </c:pt>
              </c:numCache>
            </c:numRef>
          </c:val>
        </c:ser>
        <c:ser>
          <c:idx val="1"/>
          <c:order val="1"/>
          <c:tx>
            <c:strRef>
              <c:f>Sheet1!$C$1</c:f>
              <c:strCache>
                <c:ptCount val="1"/>
                <c:pt idx="0">
                  <c:v>Series 2</c:v>
                </c:pt>
              </c:strCache>
            </c:strRef>
          </c:tx>
          <c:cat>
            <c:strRef>
              <c:f>Sheet1!$A$2:$A$11</c:f>
              <c:strCache>
                <c:ptCount val="9"/>
                <c:pt idx="0">
                  <c:v>Mississippi</c:v>
                </c:pt>
                <c:pt idx="1">
                  <c:v>Montana</c:v>
                </c:pt>
                <c:pt idx="2">
                  <c:v>New York</c:v>
                </c:pt>
                <c:pt idx="3">
                  <c:v>Wyoming</c:v>
                </c:pt>
                <c:pt idx="4">
                  <c:v>Florida</c:v>
                </c:pt>
                <c:pt idx="5">
                  <c:v>Oregon</c:v>
                </c:pt>
                <c:pt idx="6">
                  <c:v>Vermont</c:v>
                </c:pt>
                <c:pt idx="7">
                  <c:v>Iowa</c:v>
                </c:pt>
                <c:pt idx="8">
                  <c:v>Illinois</c:v>
                </c:pt>
              </c:strCache>
            </c:strRef>
          </c:cat>
          <c:val>
            <c:numRef>
              <c:f>Sheet1!$C$2:$C$11</c:f>
              <c:numCache>
                <c:formatCode>General</c:formatCode>
                <c:ptCount val="10"/>
              </c:numCache>
            </c:numRef>
          </c:val>
        </c:ser>
        <c:ser>
          <c:idx val="2"/>
          <c:order val="2"/>
          <c:tx>
            <c:strRef>
              <c:f>Sheet1!$D$1</c:f>
              <c:strCache>
                <c:ptCount val="1"/>
                <c:pt idx="0">
                  <c:v>Series 3</c:v>
                </c:pt>
              </c:strCache>
            </c:strRef>
          </c:tx>
          <c:cat>
            <c:strRef>
              <c:f>Sheet1!$A$2:$A$11</c:f>
              <c:strCache>
                <c:ptCount val="9"/>
                <c:pt idx="0">
                  <c:v>Mississippi</c:v>
                </c:pt>
                <c:pt idx="1">
                  <c:v>Montana</c:v>
                </c:pt>
                <c:pt idx="2">
                  <c:v>New York</c:v>
                </c:pt>
                <c:pt idx="3">
                  <c:v>Wyoming</c:v>
                </c:pt>
                <c:pt idx="4">
                  <c:v>Florida</c:v>
                </c:pt>
                <c:pt idx="5">
                  <c:v>Oregon</c:v>
                </c:pt>
                <c:pt idx="6">
                  <c:v>Vermont</c:v>
                </c:pt>
                <c:pt idx="7">
                  <c:v>Iowa</c:v>
                </c:pt>
                <c:pt idx="8">
                  <c:v>Illinois</c:v>
                </c:pt>
              </c:strCache>
            </c:strRef>
          </c:cat>
          <c:val>
            <c:numRef>
              <c:f>Sheet1!$D$2:$D$11</c:f>
              <c:numCache>
                <c:formatCode>General</c:formatCode>
                <c:ptCount val="10"/>
              </c:numCache>
            </c:numRef>
          </c:val>
        </c:ser>
        <c:shape val="box"/>
        <c:axId val="69417600"/>
        <c:axId val="69431680"/>
        <c:axId val="0"/>
      </c:bar3DChart>
      <c:catAx>
        <c:axId val="69417600"/>
        <c:scaling>
          <c:orientation val="minMax"/>
        </c:scaling>
        <c:axPos val="b"/>
        <c:tickLblPos val="nextTo"/>
        <c:crossAx val="69431680"/>
        <c:crosses val="autoZero"/>
        <c:auto val="1"/>
        <c:lblAlgn val="ctr"/>
        <c:lblOffset val="100"/>
      </c:catAx>
      <c:valAx>
        <c:axId val="69431680"/>
        <c:scaling>
          <c:orientation val="minMax"/>
        </c:scaling>
        <c:axPos val="l"/>
        <c:majorGridlines/>
        <c:numFmt formatCode="General" sourceLinked="1"/>
        <c:tickLblPos val="nextTo"/>
        <c:crossAx val="6941760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gilbert.williams</dc:creator>
  <cp:keywords/>
  <dc:description/>
  <cp:lastModifiedBy>gilbert.williams</cp:lastModifiedBy>
  <cp:revision>2</cp:revision>
  <cp:lastPrinted>2010-10-07T17:54:00Z</cp:lastPrinted>
  <dcterms:created xsi:type="dcterms:W3CDTF">2010-10-07T18:51:00Z</dcterms:created>
  <dcterms:modified xsi:type="dcterms:W3CDTF">2010-10-07T18:51:00Z</dcterms:modified>
</cp:coreProperties>
</file>