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64" w:rsidRPr="00F46212" w:rsidRDefault="00CF3764" w:rsidP="00786B91">
      <w:pPr>
        <w:spacing w:after="0"/>
        <w:jc w:val="center"/>
        <w:rPr>
          <w:rFonts w:ascii="Times New Roman" w:hAnsi="Times New Roman" w:cs="Times New Roman"/>
          <w:sz w:val="28"/>
          <w:szCs w:val="28"/>
        </w:rPr>
      </w:pPr>
      <w:bookmarkStart w:id="0" w:name="_GoBack"/>
      <w:r w:rsidRPr="00B82FB4">
        <w:rPr>
          <w:rFonts w:ascii="Times New Roman" w:hAnsi="Times New Roman" w:cs="Times New Roman"/>
          <w:b/>
          <w:sz w:val="28"/>
          <w:szCs w:val="28"/>
          <w:u w:val="single"/>
        </w:rPr>
        <w:t>Frequently Asked Questions</w:t>
      </w:r>
      <w:r w:rsidR="006859DA">
        <w:rPr>
          <w:rFonts w:ascii="Times New Roman" w:hAnsi="Times New Roman" w:cs="Times New Roman"/>
          <w:b/>
          <w:sz w:val="28"/>
          <w:szCs w:val="28"/>
          <w:u w:val="single"/>
        </w:rPr>
        <w:t xml:space="preserve"> (FAQs)</w:t>
      </w:r>
    </w:p>
    <w:p w:rsidR="00CB156B" w:rsidRDefault="00FA1FB4" w:rsidP="00786B9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Planning Implications </w:t>
      </w:r>
      <w:r w:rsidR="00B82FB4">
        <w:rPr>
          <w:rFonts w:ascii="Times New Roman" w:hAnsi="Times New Roman" w:cs="Times New Roman"/>
          <w:b/>
          <w:sz w:val="28"/>
          <w:szCs w:val="28"/>
        </w:rPr>
        <w:t xml:space="preserve">of Census 2010 </w:t>
      </w:r>
      <w:r>
        <w:rPr>
          <w:rFonts w:ascii="Times New Roman" w:hAnsi="Times New Roman" w:cs="Times New Roman"/>
          <w:b/>
          <w:sz w:val="28"/>
          <w:szCs w:val="28"/>
        </w:rPr>
        <w:t xml:space="preserve">for </w:t>
      </w:r>
      <w:r w:rsidR="00F14D61">
        <w:rPr>
          <w:rFonts w:ascii="Times New Roman" w:hAnsi="Times New Roman" w:cs="Times New Roman"/>
          <w:b/>
          <w:sz w:val="28"/>
          <w:szCs w:val="28"/>
        </w:rPr>
        <w:t>T</w:t>
      </w:r>
      <w:r w:rsidR="00332859">
        <w:rPr>
          <w:rFonts w:ascii="Times New Roman" w:hAnsi="Times New Roman" w:cs="Times New Roman"/>
          <w:b/>
          <w:sz w:val="28"/>
          <w:szCs w:val="28"/>
        </w:rPr>
        <w:t xml:space="preserve">ransit </w:t>
      </w:r>
      <w:r w:rsidR="0042777E">
        <w:rPr>
          <w:rFonts w:ascii="Times New Roman" w:hAnsi="Times New Roman" w:cs="Times New Roman"/>
          <w:b/>
          <w:sz w:val="28"/>
          <w:szCs w:val="28"/>
        </w:rPr>
        <w:t>Provider</w:t>
      </w:r>
      <w:r w:rsidR="004823F2">
        <w:rPr>
          <w:rFonts w:ascii="Times New Roman" w:hAnsi="Times New Roman" w:cs="Times New Roman"/>
          <w:b/>
          <w:sz w:val="28"/>
          <w:szCs w:val="28"/>
        </w:rPr>
        <w:t>s in</w:t>
      </w:r>
    </w:p>
    <w:p w:rsidR="00514E1F" w:rsidRPr="00B82FB4" w:rsidRDefault="00F14D61" w:rsidP="00786B91">
      <w:pPr>
        <w:spacing w:after="0"/>
        <w:jc w:val="center"/>
        <w:rPr>
          <w:rFonts w:ascii="Times New Roman" w:hAnsi="Times New Roman" w:cs="Times New Roman"/>
          <w:b/>
          <w:sz w:val="28"/>
          <w:szCs w:val="28"/>
        </w:rPr>
      </w:pPr>
      <w:r w:rsidRPr="00B82FB4">
        <w:rPr>
          <w:rFonts w:ascii="Times New Roman" w:hAnsi="Times New Roman" w:cs="Times New Roman"/>
          <w:b/>
          <w:sz w:val="28"/>
          <w:szCs w:val="28"/>
        </w:rPr>
        <w:t>N</w:t>
      </w:r>
      <w:r w:rsidR="00332859" w:rsidRPr="00B82FB4">
        <w:rPr>
          <w:rFonts w:ascii="Times New Roman" w:hAnsi="Times New Roman" w:cs="Times New Roman"/>
          <w:b/>
          <w:sz w:val="28"/>
          <w:szCs w:val="28"/>
        </w:rPr>
        <w:t>ew</w:t>
      </w:r>
      <w:r w:rsidR="004823F2" w:rsidRPr="00B82FB4">
        <w:rPr>
          <w:rFonts w:ascii="Times New Roman" w:hAnsi="Times New Roman" w:cs="Times New Roman"/>
          <w:b/>
          <w:sz w:val="28"/>
          <w:szCs w:val="28"/>
        </w:rPr>
        <w:t xml:space="preserve"> </w:t>
      </w:r>
      <w:r w:rsidR="00332859" w:rsidRPr="00B82FB4">
        <w:rPr>
          <w:rFonts w:ascii="Times New Roman" w:hAnsi="Times New Roman" w:cs="Times New Roman"/>
          <w:b/>
          <w:sz w:val="28"/>
          <w:szCs w:val="28"/>
        </w:rPr>
        <w:t>Urbanized Areas and Transportation Management Areas</w:t>
      </w:r>
    </w:p>
    <w:bookmarkEnd w:id="0"/>
    <w:p w:rsidR="00786B91" w:rsidRDefault="00786B91" w:rsidP="00D72A6F">
      <w:pPr>
        <w:spacing w:after="0"/>
        <w:rPr>
          <w:rFonts w:ascii="Times New Roman" w:hAnsi="Times New Roman" w:cs="Times New Roman"/>
          <w:sz w:val="24"/>
          <w:szCs w:val="24"/>
        </w:rPr>
      </w:pPr>
    </w:p>
    <w:p w:rsidR="009F6457" w:rsidRDefault="007F6294" w:rsidP="00D75FB7">
      <w:pPr>
        <w:rPr>
          <w:rFonts w:ascii="Times New Roman" w:hAnsi="Times New Roman" w:cs="Times New Roman"/>
          <w:sz w:val="24"/>
          <w:szCs w:val="24"/>
        </w:rPr>
      </w:pPr>
      <w:r>
        <w:rPr>
          <w:rFonts w:ascii="Times New Roman" w:hAnsi="Times New Roman" w:cs="Times New Roman"/>
          <w:sz w:val="24"/>
          <w:szCs w:val="24"/>
        </w:rPr>
        <w:t>The demographic and development patterns identified by t</w:t>
      </w:r>
      <w:r w:rsidR="004823F2">
        <w:rPr>
          <w:rFonts w:ascii="Times New Roman" w:hAnsi="Times New Roman" w:cs="Times New Roman"/>
          <w:sz w:val="24"/>
          <w:szCs w:val="24"/>
        </w:rPr>
        <w:t xml:space="preserve">he </w:t>
      </w:r>
      <w:r w:rsidR="00786B91">
        <w:rPr>
          <w:rFonts w:ascii="Times New Roman" w:hAnsi="Times New Roman" w:cs="Times New Roman"/>
          <w:sz w:val="24"/>
          <w:szCs w:val="24"/>
        </w:rPr>
        <w:t xml:space="preserve">2010 </w:t>
      </w:r>
      <w:r>
        <w:rPr>
          <w:rFonts w:ascii="Times New Roman" w:hAnsi="Times New Roman" w:cs="Times New Roman"/>
          <w:sz w:val="24"/>
          <w:szCs w:val="24"/>
        </w:rPr>
        <w:t xml:space="preserve">Census brought </w:t>
      </w:r>
      <w:r w:rsidR="000644B4">
        <w:rPr>
          <w:rFonts w:ascii="Times New Roman" w:hAnsi="Times New Roman" w:cs="Times New Roman"/>
          <w:sz w:val="24"/>
          <w:szCs w:val="24"/>
        </w:rPr>
        <w:t>significant change</w:t>
      </w:r>
      <w:r w:rsidR="000026E6">
        <w:rPr>
          <w:rFonts w:ascii="Times New Roman" w:hAnsi="Times New Roman" w:cs="Times New Roman"/>
          <w:sz w:val="24"/>
          <w:szCs w:val="24"/>
        </w:rPr>
        <w:t>s</w:t>
      </w:r>
      <w:r w:rsidR="000644B4">
        <w:rPr>
          <w:rFonts w:ascii="Times New Roman" w:hAnsi="Times New Roman" w:cs="Times New Roman"/>
          <w:sz w:val="24"/>
          <w:szCs w:val="24"/>
        </w:rPr>
        <w:t xml:space="preserve"> to census geography, </w:t>
      </w:r>
      <w:r w:rsidR="000026E6">
        <w:rPr>
          <w:rFonts w:ascii="Times New Roman" w:hAnsi="Times New Roman" w:cs="Times New Roman"/>
          <w:sz w:val="24"/>
          <w:szCs w:val="24"/>
        </w:rPr>
        <w:t xml:space="preserve">including the designation of </w:t>
      </w:r>
      <w:r>
        <w:rPr>
          <w:rFonts w:ascii="Times New Roman" w:hAnsi="Times New Roman" w:cs="Times New Roman"/>
          <w:sz w:val="24"/>
          <w:szCs w:val="24"/>
        </w:rPr>
        <w:t>new urbanized area</w:t>
      </w:r>
      <w:r w:rsidR="000026E6">
        <w:rPr>
          <w:rFonts w:ascii="Times New Roman" w:hAnsi="Times New Roman" w:cs="Times New Roman"/>
          <w:sz w:val="24"/>
          <w:szCs w:val="24"/>
        </w:rPr>
        <w:t>s</w:t>
      </w:r>
      <w:r>
        <w:rPr>
          <w:rFonts w:ascii="Times New Roman" w:hAnsi="Times New Roman" w:cs="Times New Roman"/>
          <w:sz w:val="24"/>
          <w:szCs w:val="24"/>
        </w:rPr>
        <w:t xml:space="preserve"> (UZA</w:t>
      </w:r>
      <w:r w:rsidR="000026E6">
        <w:rPr>
          <w:rFonts w:ascii="Times New Roman" w:hAnsi="Times New Roman" w:cs="Times New Roman"/>
          <w:sz w:val="24"/>
          <w:szCs w:val="24"/>
        </w:rPr>
        <w:t>s</w:t>
      </w:r>
      <w:r>
        <w:rPr>
          <w:rFonts w:ascii="Times New Roman" w:hAnsi="Times New Roman" w:cs="Times New Roman"/>
          <w:sz w:val="24"/>
          <w:szCs w:val="24"/>
        </w:rPr>
        <w:t xml:space="preserve">) </w:t>
      </w:r>
      <w:r w:rsidR="000026E6">
        <w:rPr>
          <w:rFonts w:ascii="Times New Roman" w:hAnsi="Times New Roman" w:cs="Times New Roman"/>
          <w:sz w:val="24"/>
          <w:szCs w:val="24"/>
        </w:rPr>
        <w:t xml:space="preserve">from </w:t>
      </w:r>
      <w:r w:rsidR="000644B4">
        <w:rPr>
          <w:rFonts w:ascii="Times New Roman" w:hAnsi="Times New Roman" w:cs="Times New Roman"/>
          <w:sz w:val="24"/>
          <w:szCs w:val="24"/>
        </w:rPr>
        <w:t>formerly rural areas</w:t>
      </w:r>
      <w:r w:rsidR="007E5C46">
        <w:rPr>
          <w:rFonts w:ascii="Times New Roman" w:hAnsi="Times New Roman" w:cs="Times New Roman"/>
          <w:sz w:val="24"/>
          <w:szCs w:val="24"/>
        </w:rPr>
        <w:t xml:space="preserve">, expansion of </w:t>
      </w:r>
      <w:r w:rsidR="00FC0702">
        <w:rPr>
          <w:rFonts w:ascii="Times New Roman" w:hAnsi="Times New Roman" w:cs="Times New Roman"/>
          <w:sz w:val="24"/>
          <w:szCs w:val="24"/>
        </w:rPr>
        <w:t>UZA boundaries</w:t>
      </w:r>
      <w:r w:rsidR="007E5C46">
        <w:rPr>
          <w:rFonts w:ascii="Times New Roman" w:hAnsi="Times New Roman" w:cs="Times New Roman"/>
          <w:sz w:val="24"/>
          <w:szCs w:val="24"/>
        </w:rPr>
        <w:t xml:space="preserve"> to encompass formerly rural communities, and </w:t>
      </w:r>
      <w:r w:rsidR="006859DA">
        <w:rPr>
          <w:rFonts w:ascii="Times New Roman" w:hAnsi="Times New Roman" w:cs="Times New Roman"/>
          <w:sz w:val="24"/>
          <w:szCs w:val="24"/>
        </w:rPr>
        <w:t xml:space="preserve">urban area population </w:t>
      </w:r>
      <w:r w:rsidR="007E5C46">
        <w:rPr>
          <w:rFonts w:ascii="Times New Roman" w:hAnsi="Times New Roman" w:cs="Times New Roman"/>
          <w:sz w:val="24"/>
          <w:szCs w:val="24"/>
        </w:rPr>
        <w:t>grow</w:t>
      </w:r>
      <w:r w:rsidR="006859DA">
        <w:rPr>
          <w:rFonts w:ascii="Times New Roman" w:hAnsi="Times New Roman" w:cs="Times New Roman"/>
          <w:sz w:val="24"/>
          <w:szCs w:val="24"/>
        </w:rPr>
        <w:t>th</w:t>
      </w:r>
      <w:r w:rsidR="007E5C46">
        <w:rPr>
          <w:rFonts w:ascii="Times New Roman" w:hAnsi="Times New Roman" w:cs="Times New Roman"/>
          <w:sz w:val="24"/>
          <w:szCs w:val="24"/>
        </w:rPr>
        <w:t xml:space="preserve"> </w:t>
      </w:r>
      <w:r w:rsidR="006859DA">
        <w:rPr>
          <w:rFonts w:ascii="Times New Roman" w:hAnsi="Times New Roman" w:cs="Times New Roman"/>
          <w:sz w:val="24"/>
          <w:szCs w:val="24"/>
        </w:rPr>
        <w:t xml:space="preserve">bringing population in selected </w:t>
      </w:r>
      <w:r w:rsidR="007E5C46">
        <w:rPr>
          <w:rFonts w:ascii="Times New Roman" w:hAnsi="Times New Roman" w:cs="Times New Roman"/>
          <w:sz w:val="24"/>
          <w:szCs w:val="24"/>
        </w:rPr>
        <w:t>UZA</w:t>
      </w:r>
      <w:r w:rsidR="006859DA">
        <w:rPr>
          <w:rFonts w:ascii="Times New Roman" w:hAnsi="Times New Roman" w:cs="Times New Roman"/>
          <w:sz w:val="24"/>
          <w:szCs w:val="24"/>
        </w:rPr>
        <w:t>s</w:t>
      </w:r>
      <w:r w:rsidR="007E5C46">
        <w:rPr>
          <w:rFonts w:ascii="Times New Roman" w:hAnsi="Times New Roman" w:cs="Times New Roman"/>
          <w:sz w:val="24"/>
          <w:szCs w:val="24"/>
        </w:rPr>
        <w:t xml:space="preserve"> to 200,000 people</w:t>
      </w:r>
      <w:r>
        <w:rPr>
          <w:rFonts w:ascii="Times New Roman" w:hAnsi="Times New Roman" w:cs="Times New Roman"/>
          <w:sz w:val="24"/>
          <w:szCs w:val="24"/>
        </w:rPr>
        <w:t xml:space="preserve">. </w:t>
      </w:r>
      <w:r w:rsidR="00D55D8C">
        <w:rPr>
          <w:rFonts w:ascii="Times New Roman" w:hAnsi="Times New Roman" w:cs="Times New Roman"/>
          <w:sz w:val="24"/>
          <w:szCs w:val="24"/>
        </w:rPr>
        <w:t>Th</w:t>
      </w:r>
      <w:r w:rsidR="006859DA">
        <w:rPr>
          <w:rFonts w:ascii="Times New Roman" w:hAnsi="Times New Roman" w:cs="Times New Roman"/>
          <w:sz w:val="24"/>
          <w:szCs w:val="24"/>
        </w:rPr>
        <w:t xml:space="preserve">e following FAQs </w:t>
      </w:r>
      <w:r w:rsidR="00D55D8C">
        <w:rPr>
          <w:rFonts w:ascii="Times New Roman" w:hAnsi="Times New Roman" w:cs="Times New Roman"/>
          <w:sz w:val="24"/>
          <w:szCs w:val="24"/>
        </w:rPr>
        <w:t xml:space="preserve">describe </w:t>
      </w:r>
      <w:r w:rsidR="007E5C46">
        <w:rPr>
          <w:rFonts w:ascii="Times New Roman" w:hAnsi="Times New Roman" w:cs="Times New Roman"/>
          <w:sz w:val="24"/>
          <w:szCs w:val="24"/>
        </w:rPr>
        <w:t xml:space="preserve">the impacts of these UZA </w:t>
      </w:r>
      <w:r w:rsidR="00D55D8C">
        <w:rPr>
          <w:rFonts w:ascii="Times New Roman" w:hAnsi="Times New Roman" w:cs="Times New Roman"/>
          <w:sz w:val="24"/>
          <w:szCs w:val="24"/>
        </w:rPr>
        <w:t xml:space="preserve">changes </w:t>
      </w:r>
      <w:r w:rsidR="007E5C46">
        <w:rPr>
          <w:rFonts w:ascii="Times New Roman" w:hAnsi="Times New Roman" w:cs="Times New Roman"/>
          <w:sz w:val="24"/>
          <w:szCs w:val="24"/>
        </w:rPr>
        <w:t xml:space="preserve">on </w:t>
      </w:r>
      <w:r w:rsidR="0073479D">
        <w:rPr>
          <w:rFonts w:ascii="Times New Roman" w:hAnsi="Times New Roman" w:cs="Times New Roman"/>
          <w:sz w:val="24"/>
          <w:szCs w:val="24"/>
        </w:rPr>
        <w:t xml:space="preserve">the transportation planning activities of </w:t>
      </w:r>
      <w:r w:rsidR="007E5C46">
        <w:rPr>
          <w:rFonts w:ascii="Times New Roman" w:hAnsi="Times New Roman" w:cs="Times New Roman"/>
          <w:sz w:val="24"/>
          <w:szCs w:val="24"/>
        </w:rPr>
        <w:t xml:space="preserve">transit </w:t>
      </w:r>
      <w:r w:rsidR="0042777E">
        <w:rPr>
          <w:rFonts w:ascii="Times New Roman" w:hAnsi="Times New Roman" w:cs="Times New Roman"/>
          <w:sz w:val="24"/>
          <w:szCs w:val="24"/>
        </w:rPr>
        <w:t>provider</w:t>
      </w:r>
      <w:r w:rsidR="0073479D">
        <w:rPr>
          <w:rFonts w:ascii="Times New Roman" w:hAnsi="Times New Roman" w:cs="Times New Roman"/>
          <w:sz w:val="24"/>
          <w:szCs w:val="24"/>
        </w:rPr>
        <w:t xml:space="preserve">s, including suggested approaches for </w:t>
      </w:r>
      <w:r w:rsidR="00D55D8C">
        <w:rPr>
          <w:rFonts w:ascii="Times New Roman" w:hAnsi="Times New Roman" w:cs="Times New Roman"/>
          <w:sz w:val="24"/>
          <w:szCs w:val="24"/>
        </w:rPr>
        <w:t xml:space="preserve">how transit providers can </w:t>
      </w:r>
      <w:r w:rsidR="007E5C46">
        <w:rPr>
          <w:rFonts w:ascii="Times New Roman" w:hAnsi="Times New Roman" w:cs="Times New Roman"/>
          <w:sz w:val="24"/>
          <w:szCs w:val="24"/>
        </w:rPr>
        <w:t>participate in new</w:t>
      </w:r>
      <w:r w:rsidR="00891E09">
        <w:rPr>
          <w:rFonts w:ascii="Times New Roman" w:hAnsi="Times New Roman" w:cs="Times New Roman"/>
          <w:sz w:val="24"/>
          <w:szCs w:val="24"/>
        </w:rPr>
        <w:t xml:space="preserve">ly </w:t>
      </w:r>
      <w:r w:rsidR="00B3284F">
        <w:rPr>
          <w:rFonts w:ascii="Times New Roman" w:hAnsi="Times New Roman" w:cs="Times New Roman"/>
          <w:sz w:val="24"/>
          <w:szCs w:val="24"/>
        </w:rPr>
        <w:t>established</w:t>
      </w:r>
      <w:r w:rsidR="00891E09">
        <w:rPr>
          <w:rFonts w:ascii="Times New Roman" w:hAnsi="Times New Roman" w:cs="Times New Roman"/>
          <w:sz w:val="24"/>
          <w:szCs w:val="24"/>
        </w:rPr>
        <w:t>, or expanded,</w:t>
      </w:r>
      <w:r w:rsidR="007E5C46">
        <w:rPr>
          <w:rFonts w:ascii="Times New Roman" w:hAnsi="Times New Roman" w:cs="Times New Roman"/>
          <w:sz w:val="24"/>
          <w:szCs w:val="24"/>
        </w:rPr>
        <w:t xml:space="preserve"> planning </w:t>
      </w:r>
      <w:r w:rsidR="0073479D">
        <w:rPr>
          <w:rFonts w:ascii="Times New Roman" w:hAnsi="Times New Roman" w:cs="Times New Roman"/>
          <w:sz w:val="24"/>
          <w:szCs w:val="24"/>
        </w:rPr>
        <w:t xml:space="preserve">processes </w:t>
      </w:r>
      <w:r w:rsidR="007E5C46">
        <w:rPr>
          <w:rFonts w:ascii="Times New Roman" w:hAnsi="Times New Roman" w:cs="Times New Roman"/>
          <w:sz w:val="24"/>
          <w:szCs w:val="24"/>
        </w:rPr>
        <w:t>most effectively.</w:t>
      </w:r>
    </w:p>
    <w:p w:rsidR="006859DA" w:rsidRDefault="0073479D" w:rsidP="00D75FB7">
      <w:pPr>
        <w:rPr>
          <w:rFonts w:ascii="Times New Roman" w:hAnsi="Times New Roman" w:cs="Times New Roman"/>
          <w:sz w:val="24"/>
          <w:szCs w:val="24"/>
        </w:rPr>
      </w:pPr>
      <w:r>
        <w:rPr>
          <w:rFonts w:ascii="Times New Roman" w:hAnsi="Times New Roman" w:cs="Times New Roman"/>
          <w:sz w:val="24"/>
          <w:szCs w:val="24"/>
        </w:rPr>
        <w:t>While t</w:t>
      </w:r>
      <w:r w:rsidR="00B75A81">
        <w:rPr>
          <w:rFonts w:ascii="Times New Roman" w:hAnsi="Times New Roman" w:cs="Times New Roman"/>
          <w:sz w:val="24"/>
          <w:szCs w:val="24"/>
        </w:rPr>
        <w:t>his guidance focuse</w:t>
      </w:r>
      <w:r>
        <w:rPr>
          <w:rFonts w:ascii="Times New Roman" w:hAnsi="Times New Roman" w:cs="Times New Roman"/>
          <w:sz w:val="24"/>
          <w:szCs w:val="24"/>
        </w:rPr>
        <w:t xml:space="preserve">s solely </w:t>
      </w:r>
      <w:r w:rsidR="00B75A81">
        <w:rPr>
          <w:rFonts w:ascii="Times New Roman" w:hAnsi="Times New Roman" w:cs="Times New Roman"/>
          <w:sz w:val="24"/>
          <w:szCs w:val="24"/>
        </w:rPr>
        <w:t xml:space="preserve">on the </w:t>
      </w:r>
      <w:r>
        <w:rPr>
          <w:rFonts w:ascii="Times New Roman" w:hAnsi="Times New Roman" w:cs="Times New Roman"/>
          <w:sz w:val="24"/>
          <w:szCs w:val="24"/>
        </w:rPr>
        <w:t xml:space="preserve">planning-related </w:t>
      </w:r>
      <w:r w:rsidR="006859DA">
        <w:rPr>
          <w:rFonts w:ascii="Times New Roman" w:hAnsi="Times New Roman" w:cs="Times New Roman"/>
          <w:sz w:val="24"/>
          <w:szCs w:val="24"/>
        </w:rPr>
        <w:t xml:space="preserve">actions of transit </w:t>
      </w:r>
      <w:r w:rsidR="0042777E">
        <w:rPr>
          <w:rFonts w:ascii="Times New Roman" w:hAnsi="Times New Roman" w:cs="Times New Roman"/>
          <w:sz w:val="24"/>
          <w:szCs w:val="24"/>
        </w:rPr>
        <w:t>provider</w:t>
      </w:r>
      <w:r w:rsidR="006859DA">
        <w:rPr>
          <w:rFonts w:ascii="Times New Roman" w:hAnsi="Times New Roman" w:cs="Times New Roman"/>
          <w:sz w:val="24"/>
          <w:szCs w:val="24"/>
        </w:rPr>
        <w:t>s</w:t>
      </w:r>
      <w:r>
        <w:rPr>
          <w:rFonts w:ascii="Times New Roman" w:hAnsi="Times New Roman" w:cs="Times New Roman"/>
          <w:sz w:val="24"/>
          <w:szCs w:val="24"/>
        </w:rPr>
        <w:t>, previously issued guidance provides a broader overview of how the Census 2010 UZA designations affected planning processes across the U.S., as well as eligible activities and recipients of FTA’s grant programs.</w:t>
      </w:r>
      <w:r w:rsidR="00B75A81">
        <w:rPr>
          <w:rFonts w:ascii="Times New Roman" w:hAnsi="Times New Roman" w:cs="Times New Roman"/>
          <w:sz w:val="24"/>
          <w:szCs w:val="24"/>
        </w:rPr>
        <w:t xml:space="preserve"> </w:t>
      </w:r>
      <w:r>
        <w:rPr>
          <w:rFonts w:ascii="Times New Roman" w:hAnsi="Times New Roman" w:cs="Times New Roman"/>
          <w:sz w:val="24"/>
          <w:szCs w:val="24"/>
        </w:rPr>
        <w:t>The f</w:t>
      </w:r>
      <w:r w:rsidR="00B75A81">
        <w:rPr>
          <w:rFonts w:ascii="Times New Roman" w:hAnsi="Times New Roman" w:cs="Times New Roman"/>
          <w:sz w:val="24"/>
          <w:szCs w:val="24"/>
        </w:rPr>
        <w:t xml:space="preserve">ollowing </w:t>
      </w:r>
      <w:r>
        <w:rPr>
          <w:rFonts w:ascii="Times New Roman" w:hAnsi="Times New Roman" w:cs="Times New Roman"/>
          <w:sz w:val="24"/>
          <w:szCs w:val="24"/>
        </w:rPr>
        <w:t>websites present that work.</w:t>
      </w:r>
    </w:p>
    <w:p w:rsidR="006859DA" w:rsidRDefault="001855B6" w:rsidP="002E4818">
      <w:pPr>
        <w:pStyle w:val="ListParagraph"/>
        <w:numPr>
          <w:ilvl w:val="0"/>
          <w:numId w:val="77"/>
        </w:numPr>
        <w:spacing w:after="0"/>
        <w:rPr>
          <w:rFonts w:ascii="Times New Roman" w:hAnsi="Times New Roman" w:cs="Times New Roman"/>
          <w:sz w:val="24"/>
          <w:szCs w:val="24"/>
        </w:rPr>
      </w:pPr>
      <w:hyperlink r:id="rId9" w:history="1">
        <w:r w:rsidR="006859DA" w:rsidRPr="006859DA">
          <w:rPr>
            <w:rStyle w:val="Hyperlink"/>
            <w:rFonts w:ascii="Times New Roman" w:hAnsi="Times New Roman" w:cs="Times New Roman"/>
            <w:sz w:val="24"/>
            <w:szCs w:val="24"/>
          </w:rPr>
          <w:t>Census Urbanized Areas and MPO/TMA Designation</w:t>
        </w:r>
      </w:hyperlink>
      <w:r w:rsidR="006859DA">
        <w:rPr>
          <w:rFonts w:ascii="Times New Roman" w:hAnsi="Times New Roman" w:cs="Times New Roman"/>
          <w:sz w:val="24"/>
          <w:szCs w:val="24"/>
        </w:rPr>
        <w:t xml:space="preserve"> –</w:t>
      </w:r>
      <w:r w:rsidR="00B75A81">
        <w:rPr>
          <w:rFonts w:ascii="Times New Roman" w:hAnsi="Times New Roman" w:cs="Times New Roman"/>
          <w:sz w:val="24"/>
          <w:szCs w:val="24"/>
        </w:rPr>
        <w:t>T</w:t>
      </w:r>
      <w:r w:rsidR="006859DA" w:rsidRPr="006859DA">
        <w:rPr>
          <w:rFonts w:ascii="Times New Roman" w:hAnsi="Times New Roman" w:cs="Times New Roman"/>
          <w:sz w:val="24"/>
          <w:szCs w:val="24"/>
        </w:rPr>
        <w:t xml:space="preserve">his </w:t>
      </w:r>
      <w:r w:rsidR="006859DA">
        <w:rPr>
          <w:rFonts w:ascii="Times New Roman" w:hAnsi="Times New Roman" w:cs="Times New Roman"/>
          <w:sz w:val="24"/>
          <w:szCs w:val="24"/>
        </w:rPr>
        <w:t xml:space="preserve">guidance </w:t>
      </w:r>
      <w:r w:rsidR="00B75A81">
        <w:rPr>
          <w:rFonts w:ascii="Times New Roman" w:hAnsi="Times New Roman" w:cs="Times New Roman"/>
          <w:sz w:val="24"/>
          <w:szCs w:val="24"/>
        </w:rPr>
        <w:t xml:space="preserve">answers common questions on the metropolitan transportation planning </w:t>
      </w:r>
      <w:r w:rsidR="006859DA" w:rsidRPr="006859DA">
        <w:rPr>
          <w:rFonts w:ascii="Times New Roman" w:hAnsi="Times New Roman" w:cs="Times New Roman"/>
          <w:sz w:val="24"/>
          <w:szCs w:val="24"/>
        </w:rPr>
        <w:t>i</w:t>
      </w:r>
      <w:r w:rsidR="00B75A81">
        <w:rPr>
          <w:rFonts w:ascii="Times New Roman" w:hAnsi="Times New Roman" w:cs="Times New Roman"/>
          <w:sz w:val="24"/>
          <w:szCs w:val="24"/>
        </w:rPr>
        <w:t>mplication</w:t>
      </w:r>
      <w:r w:rsidR="006859DA" w:rsidRPr="006859DA">
        <w:rPr>
          <w:rFonts w:ascii="Times New Roman" w:hAnsi="Times New Roman" w:cs="Times New Roman"/>
          <w:sz w:val="24"/>
          <w:szCs w:val="24"/>
        </w:rPr>
        <w:t>s of the 2010 Census.</w:t>
      </w:r>
      <w:r w:rsidR="00B75A81" w:rsidRPr="006859DA">
        <w:rPr>
          <w:rFonts w:ascii="Times New Roman" w:hAnsi="Times New Roman" w:cs="Times New Roman"/>
          <w:sz w:val="24"/>
          <w:szCs w:val="24"/>
        </w:rPr>
        <w:t xml:space="preserve"> </w:t>
      </w:r>
      <w:r w:rsidR="006859DA" w:rsidRPr="006859DA">
        <w:rPr>
          <w:rFonts w:ascii="Times New Roman" w:hAnsi="Times New Roman" w:cs="Times New Roman"/>
          <w:sz w:val="24"/>
          <w:szCs w:val="24"/>
        </w:rPr>
        <w:t>In developing these FAQ, the Federal Highway Administration (FHWA) and Federal Transit Administration (FTA) relied on statutory and regulatory provisions where they existed</w:t>
      </w:r>
      <w:r w:rsidR="00B75A81">
        <w:rPr>
          <w:rFonts w:ascii="Times New Roman" w:hAnsi="Times New Roman" w:cs="Times New Roman"/>
          <w:sz w:val="24"/>
          <w:szCs w:val="24"/>
        </w:rPr>
        <w:t xml:space="preserve"> and </w:t>
      </w:r>
      <w:r w:rsidR="006859DA" w:rsidRPr="006859DA">
        <w:rPr>
          <w:rFonts w:ascii="Times New Roman" w:hAnsi="Times New Roman" w:cs="Times New Roman"/>
          <w:sz w:val="24"/>
          <w:szCs w:val="24"/>
        </w:rPr>
        <w:t xml:space="preserve">a "reasonable implementation strategy" </w:t>
      </w:r>
      <w:r w:rsidR="00B75A81">
        <w:rPr>
          <w:rFonts w:ascii="Times New Roman" w:hAnsi="Times New Roman" w:cs="Times New Roman"/>
          <w:sz w:val="24"/>
          <w:szCs w:val="24"/>
        </w:rPr>
        <w:t xml:space="preserve">where </w:t>
      </w:r>
      <w:r w:rsidR="006859DA" w:rsidRPr="006859DA">
        <w:rPr>
          <w:rFonts w:ascii="Times New Roman" w:hAnsi="Times New Roman" w:cs="Times New Roman"/>
          <w:sz w:val="24"/>
          <w:szCs w:val="24"/>
        </w:rPr>
        <w:t xml:space="preserve">statutory provisions </w:t>
      </w:r>
      <w:r w:rsidR="00B75A81">
        <w:rPr>
          <w:rFonts w:ascii="Times New Roman" w:hAnsi="Times New Roman" w:cs="Times New Roman"/>
          <w:sz w:val="24"/>
          <w:szCs w:val="24"/>
        </w:rPr>
        <w:t>d</w:t>
      </w:r>
      <w:r w:rsidR="003D180F">
        <w:rPr>
          <w:rFonts w:ascii="Times New Roman" w:hAnsi="Times New Roman" w:cs="Times New Roman"/>
          <w:sz w:val="24"/>
          <w:szCs w:val="24"/>
        </w:rPr>
        <w:t>id</w:t>
      </w:r>
      <w:r w:rsidR="00B75A81">
        <w:rPr>
          <w:rFonts w:ascii="Times New Roman" w:hAnsi="Times New Roman" w:cs="Times New Roman"/>
          <w:sz w:val="24"/>
          <w:szCs w:val="24"/>
        </w:rPr>
        <w:t xml:space="preserve"> not exist</w:t>
      </w:r>
      <w:r w:rsidR="006859DA" w:rsidRPr="006859DA">
        <w:rPr>
          <w:rFonts w:ascii="Times New Roman" w:hAnsi="Times New Roman" w:cs="Times New Roman"/>
          <w:sz w:val="24"/>
          <w:szCs w:val="24"/>
        </w:rPr>
        <w:t>.</w:t>
      </w:r>
    </w:p>
    <w:p w:rsidR="002E4818" w:rsidRPr="002E4818" w:rsidRDefault="002E4818" w:rsidP="002E4818">
      <w:pPr>
        <w:spacing w:after="0"/>
        <w:rPr>
          <w:rFonts w:ascii="Times New Roman" w:hAnsi="Times New Roman" w:cs="Times New Roman"/>
          <w:sz w:val="24"/>
          <w:szCs w:val="24"/>
        </w:rPr>
      </w:pPr>
    </w:p>
    <w:p w:rsidR="00201A8B" w:rsidRPr="00201A8B" w:rsidRDefault="001855B6" w:rsidP="00201A8B">
      <w:pPr>
        <w:pStyle w:val="ListParagraph"/>
        <w:numPr>
          <w:ilvl w:val="0"/>
          <w:numId w:val="77"/>
        </w:numPr>
        <w:rPr>
          <w:rFonts w:ascii="Times New Roman" w:hAnsi="Times New Roman" w:cs="Times New Roman"/>
          <w:sz w:val="24"/>
          <w:szCs w:val="24"/>
        </w:rPr>
      </w:pPr>
      <w:hyperlink r:id="rId10" w:history="1">
        <w:r w:rsidR="006859DA" w:rsidRPr="006859DA">
          <w:rPr>
            <w:rStyle w:val="Hyperlink"/>
            <w:rFonts w:ascii="Times New Roman" w:hAnsi="Times New Roman" w:cs="Times New Roman"/>
            <w:sz w:val="24"/>
            <w:szCs w:val="24"/>
          </w:rPr>
          <w:t>Census 2010 and FTA Formula Grants</w:t>
        </w:r>
      </w:hyperlink>
      <w:r w:rsidR="006859DA">
        <w:rPr>
          <w:rFonts w:ascii="Times New Roman" w:hAnsi="Times New Roman" w:cs="Times New Roman"/>
          <w:sz w:val="24"/>
          <w:szCs w:val="24"/>
        </w:rPr>
        <w:t xml:space="preserve"> </w:t>
      </w:r>
      <w:r w:rsidR="00B75A81">
        <w:rPr>
          <w:rFonts w:ascii="Times New Roman" w:hAnsi="Times New Roman" w:cs="Times New Roman"/>
          <w:sz w:val="24"/>
          <w:szCs w:val="24"/>
        </w:rPr>
        <w:t>–</w:t>
      </w:r>
      <w:r w:rsidR="008146DC">
        <w:rPr>
          <w:rFonts w:ascii="Times New Roman" w:hAnsi="Times New Roman" w:cs="Times New Roman"/>
          <w:sz w:val="24"/>
          <w:szCs w:val="24"/>
        </w:rPr>
        <w:t>Presented in FAQ format, t</w:t>
      </w:r>
      <w:r w:rsidR="00B75A81">
        <w:rPr>
          <w:rFonts w:ascii="Times New Roman" w:hAnsi="Times New Roman" w:cs="Times New Roman"/>
          <w:sz w:val="24"/>
          <w:szCs w:val="24"/>
        </w:rPr>
        <w:t>his guidance</w:t>
      </w:r>
      <w:r w:rsidR="003D180F">
        <w:rPr>
          <w:rFonts w:ascii="Times New Roman" w:hAnsi="Times New Roman" w:cs="Times New Roman"/>
          <w:sz w:val="24"/>
          <w:szCs w:val="24"/>
        </w:rPr>
        <w:t xml:space="preserve"> </w:t>
      </w:r>
      <w:r w:rsidR="008146DC">
        <w:rPr>
          <w:rFonts w:ascii="Times New Roman" w:hAnsi="Times New Roman" w:cs="Times New Roman"/>
          <w:sz w:val="24"/>
          <w:szCs w:val="24"/>
        </w:rPr>
        <w:t>a</w:t>
      </w:r>
      <w:r w:rsidR="003D180F">
        <w:rPr>
          <w:rFonts w:ascii="Times New Roman" w:hAnsi="Times New Roman" w:cs="Times New Roman"/>
          <w:sz w:val="24"/>
          <w:szCs w:val="24"/>
        </w:rPr>
        <w:t xml:space="preserve">nswers the most common </w:t>
      </w:r>
      <w:r w:rsidR="008146DC">
        <w:rPr>
          <w:rFonts w:ascii="Times New Roman" w:hAnsi="Times New Roman" w:cs="Times New Roman"/>
          <w:sz w:val="24"/>
          <w:szCs w:val="24"/>
        </w:rPr>
        <w:t xml:space="preserve">questions related to FTA’s urban formula program (49 U.S.C. 5307). UZA designation and </w:t>
      </w:r>
      <w:r w:rsidR="003D180F">
        <w:rPr>
          <w:rFonts w:ascii="Times New Roman" w:hAnsi="Times New Roman" w:cs="Times New Roman"/>
          <w:sz w:val="24"/>
          <w:szCs w:val="24"/>
        </w:rPr>
        <w:t xml:space="preserve">emergence of </w:t>
      </w:r>
      <w:r w:rsidR="008146DC">
        <w:rPr>
          <w:rFonts w:ascii="Times New Roman" w:hAnsi="Times New Roman" w:cs="Times New Roman"/>
          <w:sz w:val="24"/>
          <w:szCs w:val="24"/>
        </w:rPr>
        <w:t>large UZAs with populations greater than 200,000 people have important implications for eligibility and award of funding under that program.</w:t>
      </w:r>
      <w:r w:rsidR="00201A8B">
        <w:rPr>
          <w:rFonts w:ascii="Times New Roman" w:hAnsi="Times New Roman" w:cs="Times New Roman"/>
          <w:sz w:val="24"/>
          <w:szCs w:val="24"/>
        </w:rPr>
        <w:t xml:space="preserve"> </w:t>
      </w:r>
      <w:r w:rsidR="00201A8B" w:rsidRPr="00201A8B">
        <w:rPr>
          <w:rFonts w:ascii="Times New Roman" w:hAnsi="Times New Roman" w:cs="Times New Roman"/>
          <w:sz w:val="24"/>
          <w:szCs w:val="24"/>
        </w:rPr>
        <w:t xml:space="preserve">Additional information on the impacts of UZA designation on FTA programs is available </w:t>
      </w:r>
      <w:hyperlink r:id="rId11" w:history="1">
        <w:r w:rsidR="00201A8B" w:rsidRPr="00201A8B">
          <w:rPr>
            <w:rStyle w:val="Hyperlink"/>
            <w:rFonts w:ascii="Times New Roman" w:hAnsi="Times New Roman" w:cs="Times New Roman"/>
            <w:sz w:val="24"/>
            <w:szCs w:val="24"/>
          </w:rPr>
          <w:t>here</w:t>
        </w:r>
      </w:hyperlink>
      <w:r w:rsidR="00201A8B" w:rsidRPr="00201A8B">
        <w:rPr>
          <w:rFonts w:ascii="Times New Roman" w:hAnsi="Times New Roman" w:cs="Times New Roman"/>
          <w:sz w:val="24"/>
          <w:szCs w:val="24"/>
        </w:rPr>
        <w:t>.</w:t>
      </w:r>
    </w:p>
    <w:p w:rsidR="00605247" w:rsidRDefault="00CE5365" w:rsidP="00605247">
      <w:pPr>
        <w:rPr>
          <w:rFonts w:ascii="Times New Roman" w:hAnsi="Times New Roman" w:cs="Times New Roman"/>
          <w:sz w:val="24"/>
          <w:szCs w:val="24"/>
        </w:rPr>
      </w:pPr>
      <w:r>
        <w:rPr>
          <w:rFonts w:ascii="Times New Roman" w:hAnsi="Times New Roman" w:cs="Times New Roman"/>
          <w:sz w:val="24"/>
          <w:szCs w:val="24"/>
        </w:rPr>
        <w:t xml:space="preserve">Following are </w:t>
      </w:r>
      <w:r w:rsidR="00605247">
        <w:rPr>
          <w:rFonts w:ascii="Times New Roman" w:hAnsi="Times New Roman" w:cs="Times New Roman"/>
          <w:sz w:val="24"/>
          <w:szCs w:val="24"/>
        </w:rPr>
        <w:t xml:space="preserve">an additional set of </w:t>
      </w:r>
      <w:r>
        <w:rPr>
          <w:rFonts w:ascii="Times New Roman" w:hAnsi="Times New Roman" w:cs="Times New Roman"/>
          <w:sz w:val="24"/>
          <w:szCs w:val="24"/>
        </w:rPr>
        <w:t xml:space="preserve">FAQs that </w:t>
      </w:r>
      <w:r w:rsidR="00605247">
        <w:rPr>
          <w:rFonts w:ascii="Times New Roman" w:hAnsi="Times New Roman" w:cs="Times New Roman"/>
          <w:sz w:val="24"/>
          <w:szCs w:val="24"/>
        </w:rPr>
        <w:t xml:space="preserve">focus on </w:t>
      </w:r>
      <w:r>
        <w:rPr>
          <w:rFonts w:ascii="Times New Roman" w:hAnsi="Times New Roman" w:cs="Times New Roman"/>
          <w:sz w:val="24"/>
          <w:szCs w:val="24"/>
        </w:rPr>
        <w:t xml:space="preserve">the planning implications </w:t>
      </w:r>
      <w:r w:rsidR="00605247">
        <w:rPr>
          <w:rFonts w:ascii="Times New Roman" w:hAnsi="Times New Roman" w:cs="Times New Roman"/>
          <w:sz w:val="24"/>
          <w:szCs w:val="24"/>
        </w:rPr>
        <w:t xml:space="preserve">for transit </w:t>
      </w:r>
      <w:r w:rsidR="0042777E">
        <w:rPr>
          <w:rFonts w:ascii="Times New Roman" w:hAnsi="Times New Roman" w:cs="Times New Roman"/>
          <w:sz w:val="24"/>
          <w:szCs w:val="24"/>
        </w:rPr>
        <w:t>provider</w:t>
      </w:r>
      <w:r w:rsidR="00605247">
        <w:rPr>
          <w:rFonts w:ascii="Times New Roman" w:hAnsi="Times New Roman" w:cs="Times New Roman"/>
          <w:sz w:val="24"/>
          <w:szCs w:val="24"/>
        </w:rPr>
        <w:t xml:space="preserve">s </w:t>
      </w:r>
      <w:r>
        <w:rPr>
          <w:rFonts w:ascii="Times New Roman" w:hAnsi="Times New Roman" w:cs="Times New Roman"/>
          <w:sz w:val="24"/>
          <w:szCs w:val="24"/>
        </w:rPr>
        <w:t>of Census 2010 UZA designation.</w:t>
      </w:r>
      <w:r w:rsidR="00B02E43">
        <w:rPr>
          <w:rFonts w:ascii="Times New Roman" w:hAnsi="Times New Roman" w:cs="Times New Roman"/>
          <w:sz w:val="24"/>
          <w:szCs w:val="24"/>
        </w:rPr>
        <w:t xml:space="preserve"> The topics range from early activities by transit </w:t>
      </w:r>
      <w:r w:rsidR="0042777E">
        <w:rPr>
          <w:rFonts w:ascii="Times New Roman" w:hAnsi="Times New Roman" w:cs="Times New Roman"/>
          <w:sz w:val="24"/>
          <w:szCs w:val="24"/>
        </w:rPr>
        <w:t>provider</w:t>
      </w:r>
      <w:r w:rsidR="00B02E43">
        <w:rPr>
          <w:rFonts w:ascii="Times New Roman" w:hAnsi="Times New Roman" w:cs="Times New Roman"/>
          <w:sz w:val="24"/>
          <w:szCs w:val="24"/>
        </w:rPr>
        <w:t xml:space="preserve">s to support designation of metropolitan planning organizations (MPOs) </w:t>
      </w:r>
      <w:r w:rsidR="00605247">
        <w:rPr>
          <w:rFonts w:ascii="Times New Roman" w:hAnsi="Times New Roman" w:cs="Times New Roman"/>
          <w:sz w:val="24"/>
          <w:szCs w:val="24"/>
        </w:rPr>
        <w:t>in</w:t>
      </w:r>
      <w:r w:rsidR="00B02E43">
        <w:rPr>
          <w:rFonts w:ascii="Times New Roman" w:hAnsi="Times New Roman" w:cs="Times New Roman"/>
          <w:sz w:val="24"/>
          <w:szCs w:val="24"/>
        </w:rPr>
        <w:t xml:space="preserve"> new UZAs through strategies for participating in newly established planning processes most effectively.</w:t>
      </w:r>
      <w:r w:rsidR="00605247">
        <w:rPr>
          <w:rFonts w:ascii="Times New Roman" w:hAnsi="Times New Roman" w:cs="Times New Roman"/>
          <w:sz w:val="24"/>
          <w:szCs w:val="24"/>
        </w:rPr>
        <w:t xml:space="preserve"> For completeness, there is occasional redundancy between discussions in the following FAQs and the two sets of web-postings noted above.</w:t>
      </w:r>
    </w:p>
    <w:p w:rsidR="00605247" w:rsidRDefault="00605247" w:rsidP="00605247">
      <w:pPr>
        <w:jc w:val="center"/>
        <w:rPr>
          <w:rFonts w:ascii="Times New Roman" w:hAnsi="Times New Roman" w:cs="Times New Roman"/>
          <w:sz w:val="24"/>
          <w:szCs w:val="24"/>
        </w:rPr>
      </w:pPr>
      <w:r>
        <w:rPr>
          <w:rFonts w:ascii="Times New Roman" w:hAnsi="Times New Roman" w:cs="Times New Roman"/>
          <w:sz w:val="24"/>
          <w:szCs w:val="24"/>
        </w:rPr>
        <w:t>For more information, please contact your FTA Region Office.</w:t>
      </w:r>
    </w:p>
    <w:p w:rsidR="00605247" w:rsidRDefault="00605247" w:rsidP="00605247">
      <w:pPr>
        <w:rPr>
          <w:rFonts w:ascii="Times New Roman" w:hAnsi="Times New Roman" w:cs="Times New Roman"/>
          <w:sz w:val="24"/>
          <w:szCs w:val="24"/>
        </w:rPr>
      </w:pPr>
    </w:p>
    <w:p w:rsidR="00605247" w:rsidRDefault="00605247" w:rsidP="00605247">
      <w:pPr>
        <w:rPr>
          <w:rFonts w:ascii="Times New Roman" w:hAnsi="Times New Roman" w:cs="Times New Roman"/>
          <w:sz w:val="24"/>
          <w:szCs w:val="24"/>
        </w:rPr>
      </w:pPr>
    </w:p>
    <w:p w:rsidR="00605247" w:rsidRDefault="00605247" w:rsidP="00605247">
      <w:pPr>
        <w:rPr>
          <w:rFonts w:ascii="Times New Roman" w:hAnsi="Times New Roman" w:cs="Times New Roman"/>
          <w:sz w:val="24"/>
          <w:szCs w:val="24"/>
        </w:rPr>
      </w:pPr>
    </w:p>
    <w:p w:rsidR="005A7717" w:rsidRPr="009F0652" w:rsidRDefault="005A7717" w:rsidP="005A7717">
      <w:pPr>
        <w:rPr>
          <w:rFonts w:ascii="Times New Roman" w:hAnsi="Times New Roman" w:cs="Times New Roman"/>
          <w:b/>
          <w:sz w:val="24"/>
          <w:szCs w:val="24"/>
          <w:u w:val="single"/>
        </w:rPr>
      </w:pPr>
      <w:r w:rsidRPr="009F0652">
        <w:rPr>
          <w:rFonts w:ascii="Times New Roman" w:hAnsi="Times New Roman" w:cs="Times New Roman"/>
          <w:b/>
          <w:sz w:val="24"/>
          <w:szCs w:val="24"/>
          <w:u w:val="single"/>
        </w:rPr>
        <w:lastRenderedPageBreak/>
        <w:t>Question #1: Can localities appeal the Census UZA designation for their area to FTA?</w:t>
      </w:r>
    </w:p>
    <w:p w:rsidR="005A7717" w:rsidRDefault="005A7717" w:rsidP="005A7717">
      <w:pPr>
        <w:rPr>
          <w:rFonts w:ascii="Times New Roman" w:hAnsi="Times New Roman" w:cs="Times New Roman"/>
          <w:sz w:val="24"/>
          <w:szCs w:val="24"/>
        </w:rPr>
      </w:pPr>
      <w:r>
        <w:rPr>
          <w:rFonts w:ascii="Times New Roman" w:hAnsi="Times New Roman" w:cs="Times New Roman"/>
          <w:sz w:val="24"/>
          <w:szCs w:val="24"/>
        </w:rPr>
        <w:t>No. A</w:t>
      </w:r>
      <w:r w:rsidR="00255C5C">
        <w:rPr>
          <w:rFonts w:ascii="Times New Roman" w:hAnsi="Times New Roman" w:cs="Times New Roman"/>
          <w:sz w:val="24"/>
          <w:szCs w:val="24"/>
        </w:rPr>
        <w:t>ll</w:t>
      </w:r>
      <w:r>
        <w:rPr>
          <w:rFonts w:ascii="Times New Roman" w:hAnsi="Times New Roman" w:cs="Times New Roman"/>
          <w:sz w:val="24"/>
          <w:szCs w:val="24"/>
        </w:rPr>
        <w:t xml:space="preserve"> </w:t>
      </w:r>
      <w:r w:rsidR="00283253">
        <w:rPr>
          <w:rFonts w:ascii="Times New Roman" w:hAnsi="Times New Roman" w:cs="Times New Roman"/>
          <w:sz w:val="24"/>
          <w:szCs w:val="24"/>
        </w:rPr>
        <w:t xml:space="preserve">questions </w:t>
      </w:r>
      <w:r w:rsidR="00DA26CD">
        <w:rPr>
          <w:rFonts w:ascii="Times New Roman" w:hAnsi="Times New Roman" w:cs="Times New Roman"/>
          <w:sz w:val="24"/>
          <w:szCs w:val="24"/>
        </w:rPr>
        <w:t xml:space="preserve">on </w:t>
      </w:r>
      <w:r>
        <w:rPr>
          <w:rFonts w:ascii="Times New Roman" w:hAnsi="Times New Roman" w:cs="Times New Roman"/>
          <w:sz w:val="24"/>
          <w:szCs w:val="24"/>
        </w:rPr>
        <w:t xml:space="preserve">UZA designation must be presented directly </w:t>
      </w:r>
      <w:r w:rsidRPr="009516A3">
        <w:rPr>
          <w:rFonts w:ascii="Times New Roman" w:hAnsi="Times New Roman" w:cs="Times New Roman"/>
          <w:sz w:val="24"/>
          <w:szCs w:val="24"/>
        </w:rPr>
        <w:t>to the Census Bureau</w:t>
      </w:r>
      <w:r>
        <w:rPr>
          <w:rFonts w:ascii="Times New Roman" w:hAnsi="Times New Roman" w:cs="Times New Roman"/>
          <w:sz w:val="24"/>
          <w:szCs w:val="24"/>
        </w:rPr>
        <w:t>.</w:t>
      </w:r>
      <w:r w:rsidR="00642BDD">
        <w:rPr>
          <w:rFonts w:ascii="Times New Roman" w:hAnsi="Times New Roman" w:cs="Times New Roman"/>
          <w:sz w:val="24"/>
          <w:szCs w:val="24"/>
        </w:rPr>
        <w:t xml:space="preserve"> </w:t>
      </w:r>
      <w:r w:rsidR="00642BDD" w:rsidRPr="00642BDD">
        <w:rPr>
          <w:rFonts w:ascii="Times New Roman" w:hAnsi="Times New Roman" w:cs="Times New Roman"/>
          <w:sz w:val="24"/>
          <w:szCs w:val="24"/>
        </w:rPr>
        <w:t xml:space="preserve">Please </w:t>
      </w:r>
      <w:r w:rsidR="009979EA">
        <w:rPr>
          <w:rFonts w:ascii="Times New Roman" w:hAnsi="Times New Roman" w:cs="Times New Roman"/>
          <w:sz w:val="24"/>
          <w:szCs w:val="24"/>
        </w:rPr>
        <w:t xml:space="preserve">note </w:t>
      </w:r>
      <w:r w:rsidR="00642BDD" w:rsidRPr="00642BDD">
        <w:rPr>
          <w:rFonts w:ascii="Times New Roman" w:hAnsi="Times New Roman" w:cs="Times New Roman"/>
          <w:sz w:val="24"/>
          <w:szCs w:val="24"/>
        </w:rPr>
        <w:t>that we are unaware of any successful challenges to Census Bureau UZA designations.</w:t>
      </w:r>
    </w:p>
    <w:p w:rsidR="009F0652" w:rsidRPr="009F0652" w:rsidRDefault="009F0652" w:rsidP="009F0652">
      <w:pPr>
        <w:rPr>
          <w:rFonts w:ascii="Times New Roman" w:hAnsi="Times New Roman" w:cs="Times New Roman"/>
          <w:b/>
          <w:sz w:val="24"/>
          <w:szCs w:val="24"/>
          <w:u w:val="single"/>
        </w:rPr>
      </w:pPr>
      <w:r w:rsidRPr="009F0652">
        <w:rPr>
          <w:rFonts w:ascii="Times New Roman" w:hAnsi="Times New Roman" w:cs="Times New Roman"/>
          <w:b/>
          <w:sz w:val="24"/>
          <w:szCs w:val="24"/>
          <w:u w:val="single"/>
        </w:rPr>
        <w:t xml:space="preserve">Question #2: What is an MPO, and when must new MPOs be designated? </w:t>
      </w:r>
    </w:p>
    <w:p w:rsidR="009F0652" w:rsidRPr="009F0652" w:rsidRDefault="00163BB6" w:rsidP="009F0652">
      <w:pPr>
        <w:rPr>
          <w:rFonts w:ascii="Times New Roman" w:hAnsi="Times New Roman" w:cs="Times New Roman"/>
          <w:sz w:val="24"/>
          <w:szCs w:val="24"/>
        </w:rPr>
      </w:pPr>
      <w:r w:rsidRPr="009F0652">
        <w:rPr>
          <w:rFonts w:ascii="Times New Roman" w:hAnsi="Times New Roman" w:cs="Times New Roman"/>
          <w:sz w:val="24"/>
          <w:szCs w:val="24"/>
        </w:rPr>
        <w:t xml:space="preserve">MPOs are </w:t>
      </w:r>
      <w:r>
        <w:rPr>
          <w:rFonts w:ascii="Times New Roman" w:hAnsi="Times New Roman" w:cs="Times New Roman"/>
          <w:sz w:val="24"/>
          <w:szCs w:val="24"/>
        </w:rPr>
        <w:t xml:space="preserve">intergovernmental </w:t>
      </w:r>
      <w:r w:rsidRPr="009F0652">
        <w:rPr>
          <w:rFonts w:ascii="Times New Roman" w:hAnsi="Times New Roman" w:cs="Times New Roman"/>
          <w:sz w:val="24"/>
          <w:szCs w:val="24"/>
        </w:rPr>
        <w:t>organizations with Policy Boards comprised of the chief officials of local units of government of the metropolitan area, as agreed upon by the Governor and local governments that together represent at least 75 percent of the affected population</w:t>
      </w:r>
      <w:r w:rsidR="00E162D1">
        <w:rPr>
          <w:rFonts w:ascii="Times New Roman" w:hAnsi="Times New Roman" w:cs="Times New Roman"/>
          <w:sz w:val="24"/>
          <w:szCs w:val="24"/>
        </w:rPr>
        <w:t xml:space="preserve">, </w:t>
      </w:r>
      <w:r w:rsidRPr="009F0652">
        <w:rPr>
          <w:rFonts w:ascii="Times New Roman" w:hAnsi="Times New Roman" w:cs="Times New Roman"/>
          <w:sz w:val="24"/>
          <w:szCs w:val="24"/>
        </w:rPr>
        <w:t xml:space="preserve">including the largest incorporated city, based on population. </w:t>
      </w:r>
      <w:r>
        <w:rPr>
          <w:rFonts w:ascii="Times New Roman" w:hAnsi="Times New Roman" w:cs="Times New Roman"/>
          <w:sz w:val="24"/>
          <w:szCs w:val="24"/>
        </w:rPr>
        <w:t>Communities that lie within Census</w:t>
      </w:r>
      <w:r w:rsidR="009979EA">
        <w:rPr>
          <w:rFonts w:ascii="Times New Roman" w:hAnsi="Times New Roman" w:cs="Times New Roman"/>
          <w:sz w:val="24"/>
          <w:szCs w:val="24"/>
        </w:rPr>
        <w:t>-</w:t>
      </w:r>
      <w:r>
        <w:rPr>
          <w:rFonts w:ascii="Times New Roman" w:hAnsi="Times New Roman" w:cs="Times New Roman"/>
          <w:sz w:val="24"/>
          <w:szCs w:val="24"/>
        </w:rPr>
        <w:t xml:space="preserve">designated UZAs are required to form a metropolitan </w:t>
      </w:r>
      <w:r w:rsidRPr="00B61F54">
        <w:rPr>
          <w:rFonts w:ascii="Times New Roman" w:hAnsi="Times New Roman" w:cs="Times New Roman"/>
          <w:sz w:val="24"/>
          <w:szCs w:val="24"/>
        </w:rPr>
        <w:t>planning organization (MPO)</w:t>
      </w:r>
      <w:r>
        <w:rPr>
          <w:rFonts w:ascii="Times New Roman" w:hAnsi="Times New Roman" w:cs="Times New Roman"/>
          <w:sz w:val="24"/>
          <w:szCs w:val="24"/>
        </w:rPr>
        <w:t xml:space="preserve"> or join an existing MPO located adjacent to the area</w:t>
      </w:r>
      <w:r w:rsidR="00264DCF">
        <w:rPr>
          <w:rFonts w:ascii="Times New Roman" w:hAnsi="Times New Roman" w:cs="Times New Roman"/>
          <w:sz w:val="24"/>
          <w:szCs w:val="24"/>
        </w:rPr>
        <w:t>, in order to r</w:t>
      </w:r>
      <w:r w:rsidR="005B10DF">
        <w:rPr>
          <w:rFonts w:ascii="Times New Roman" w:hAnsi="Times New Roman" w:cs="Times New Roman"/>
          <w:sz w:val="24"/>
          <w:szCs w:val="24"/>
        </w:rPr>
        <w:t>eceiv</w:t>
      </w:r>
      <w:r w:rsidR="002F25AD">
        <w:rPr>
          <w:rFonts w:ascii="Times New Roman" w:hAnsi="Times New Roman" w:cs="Times New Roman"/>
          <w:sz w:val="24"/>
          <w:szCs w:val="24"/>
        </w:rPr>
        <w:t>e</w:t>
      </w:r>
      <w:r w:rsidR="005B10DF">
        <w:rPr>
          <w:rFonts w:ascii="Times New Roman" w:hAnsi="Times New Roman" w:cs="Times New Roman"/>
          <w:sz w:val="24"/>
          <w:szCs w:val="24"/>
        </w:rPr>
        <w:t xml:space="preserve"> capital and/or operating funds from the Federal transit and Federal-aid highway programs</w:t>
      </w:r>
      <w:r w:rsidR="00264DCF">
        <w:rPr>
          <w:rFonts w:ascii="Times New Roman" w:hAnsi="Times New Roman" w:cs="Times New Roman"/>
          <w:sz w:val="24"/>
          <w:szCs w:val="24"/>
        </w:rPr>
        <w:t xml:space="preserve"> (see</w:t>
      </w:r>
      <w:r w:rsidR="00264DCF" w:rsidRPr="00B61F54">
        <w:rPr>
          <w:rFonts w:ascii="Times New Roman" w:hAnsi="Times New Roman" w:cs="Times New Roman"/>
          <w:sz w:val="24"/>
          <w:szCs w:val="24"/>
        </w:rPr>
        <w:t xml:space="preserve"> </w:t>
      </w:r>
      <w:hyperlink r:id="rId12" w:history="1">
        <w:r w:rsidR="00264DCF" w:rsidRPr="00B61F54">
          <w:rPr>
            <w:rStyle w:val="Hyperlink"/>
            <w:rFonts w:ascii="Times New Roman" w:hAnsi="Times New Roman" w:cs="Times New Roman"/>
            <w:sz w:val="24"/>
            <w:szCs w:val="24"/>
          </w:rPr>
          <w:t>49 U.S.C. 5303(d)</w:t>
        </w:r>
      </w:hyperlink>
      <w:r w:rsidR="00264DCF" w:rsidRPr="00B61F54">
        <w:rPr>
          <w:rFonts w:ascii="Times New Roman" w:hAnsi="Times New Roman" w:cs="Times New Roman"/>
          <w:sz w:val="24"/>
          <w:szCs w:val="24"/>
        </w:rPr>
        <w:t>)</w:t>
      </w:r>
      <w:r w:rsidR="00B10F0B">
        <w:rPr>
          <w:rFonts w:ascii="Times New Roman" w:hAnsi="Times New Roman" w:cs="Times New Roman"/>
          <w:sz w:val="24"/>
          <w:szCs w:val="24"/>
        </w:rPr>
        <w:t>.</w:t>
      </w:r>
      <w:r w:rsidR="002F6398">
        <w:rPr>
          <w:rFonts w:ascii="Times New Roman" w:hAnsi="Times New Roman" w:cs="Times New Roman"/>
          <w:sz w:val="24"/>
          <w:szCs w:val="24"/>
        </w:rPr>
        <w:t xml:space="preserve"> </w:t>
      </w:r>
      <w:r w:rsidR="009F0652" w:rsidRPr="009F0652">
        <w:rPr>
          <w:rFonts w:ascii="Times New Roman" w:hAnsi="Times New Roman" w:cs="Times New Roman"/>
          <w:sz w:val="24"/>
          <w:szCs w:val="24"/>
        </w:rPr>
        <w:t xml:space="preserve">Each UZA listed </w:t>
      </w:r>
      <w:r w:rsidR="00781AC3">
        <w:rPr>
          <w:rFonts w:ascii="Times New Roman" w:hAnsi="Times New Roman" w:cs="Times New Roman"/>
          <w:sz w:val="24"/>
          <w:szCs w:val="24"/>
        </w:rPr>
        <w:t xml:space="preserve">by the Census Bureau </w:t>
      </w:r>
      <w:r w:rsidR="009F0652" w:rsidRPr="009F0652">
        <w:rPr>
          <w:rFonts w:ascii="Times New Roman" w:hAnsi="Times New Roman" w:cs="Times New Roman"/>
          <w:sz w:val="24"/>
          <w:szCs w:val="24"/>
        </w:rPr>
        <w:t xml:space="preserve">in the </w:t>
      </w:r>
      <w:hyperlink r:id="rId13" w:history="1">
        <w:r w:rsidR="009F0652" w:rsidRPr="00781AC3">
          <w:rPr>
            <w:rStyle w:val="Hyperlink"/>
            <w:rFonts w:ascii="Times New Roman" w:hAnsi="Times New Roman" w:cs="Times New Roman"/>
            <w:sz w:val="24"/>
            <w:szCs w:val="24"/>
          </w:rPr>
          <w:t>Federal Register</w:t>
        </w:r>
      </w:hyperlink>
      <w:r w:rsidR="009F0652" w:rsidRPr="00781AC3">
        <w:rPr>
          <w:rFonts w:ascii="Times New Roman" w:hAnsi="Times New Roman" w:cs="Times New Roman"/>
          <w:sz w:val="24"/>
          <w:szCs w:val="24"/>
        </w:rPr>
        <w:t xml:space="preserve"> </w:t>
      </w:r>
      <w:r w:rsidR="00781AC3">
        <w:rPr>
          <w:rFonts w:ascii="Times New Roman" w:hAnsi="Times New Roman" w:cs="Times New Roman"/>
          <w:sz w:val="24"/>
          <w:szCs w:val="24"/>
        </w:rPr>
        <w:t xml:space="preserve">on March 12, 2012 </w:t>
      </w:r>
      <w:r w:rsidR="00642BDD">
        <w:rPr>
          <w:rFonts w:ascii="Times New Roman" w:hAnsi="Times New Roman" w:cs="Times New Roman"/>
          <w:sz w:val="24"/>
          <w:szCs w:val="24"/>
        </w:rPr>
        <w:t xml:space="preserve">should </w:t>
      </w:r>
      <w:r w:rsidR="00EB0A79">
        <w:rPr>
          <w:rFonts w:ascii="Times New Roman" w:hAnsi="Times New Roman" w:cs="Times New Roman"/>
          <w:sz w:val="24"/>
          <w:szCs w:val="24"/>
        </w:rPr>
        <w:t xml:space="preserve">have </w:t>
      </w:r>
      <w:r w:rsidR="00642BDD">
        <w:rPr>
          <w:rFonts w:ascii="Times New Roman" w:hAnsi="Times New Roman" w:cs="Times New Roman"/>
          <w:sz w:val="24"/>
          <w:szCs w:val="24"/>
        </w:rPr>
        <w:t>be</w:t>
      </w:r>
      <w:r w:rsidR="00EB0A79">
        <w:rPr>
          <w:rFonts w:ascii="Times New Roman" w:hAnsi="Times New Roman" w:cs="Times New Roman"/>
          <w:sz w:val="24"/>
          <w:szCs w:val="24"/>
        </w:rPr>
        <w:t>en</w:t>
      </w:r>
      <w:r w:rsidR="00642BDD">
        <w:rPr>
          <w:rFonts w:ascii="Times New Roman" w:hAnsi="Times New Roman" w:cs="Times New Roman"/>
          <w:sz w:val="24"/>
          <w:szCs w:val="24"/>
        </w:rPr>
        <w:t xml:space="preserve"> </w:t>
      </w:r>
      <w:r w:rsidR="009F0652" w:rsidRPr="009F0652">
        <w:rPr>
          <w:rFonts w:ascii="Times New Roman" w:hAnsi="Times New Roman" w:cs="Times New Roman"/>
          <w:sz w:val="24"/>
          <w:szCs w:val="24"/>
        </w:rPr>
        <w:t xml:space="preserve">represented by a MPO within 12 months of </w:t>
      </w:r>
      <w:r w:rsidR="00781AC3">
        <w:rPr>
          <w:rFonts w:ascii="Times New Roman" w:hAnsi="Times New Roman" w:cs="Times New Roman"/>
          <w:sz w:val="24"/>
          <w:szCs w:val="24"/>
        </w:rPr>
        <w:t xml:space="preserve">that date, or </w:t>
      </w:r>
      <w:r w:rsidR="009F0652" w:rsidRPr="009F0652">
        <w:rPr>
          <w:rFonts w:ascii="Times New Roman" w:hAnsi="Times New Roman" w:cs="Times New Roman"/>
          <w:sz w:val="24"/>
          <w:szCs w:val="24"/>
        </w:rPr>
        <w:t>March 27, 2013.</w:t>
      </w:r>
    </w:p>
    <w:p w:rsidR="00AA49AE" w:rsidRDefault="00AA49AE" w:rsidP="00AA49AE">
      <w:pPr>
        <w:rPr>
          <w:rFonts w:ascii="Times New Roman" w:hAnsi="Times New Roman" w:cs="Times New Roman"/>
          <w:b/>
          <w:sz w:val="24"/>
          <w:szCs w:val="24"/>
          <w:u w:val="single"/>
        </w:rPr>
      </w:pPr>
      <w:r>
        <w:rPr>
          <w:rFonts w:ascii="Times New Roman" w:hAnsi="Times New Roman" w:cs="Times New Roman"/>
          <w:b/>
          <w:sz w:val="24"/>
          <w:szCs w:val="24"/>
          <w:u w:val="single"/>
        </w:rPr>
        <w:t xml:space="preserve">Question #3: </w:t>
      </w:r>
      <w:r w:rsidRPr="00EF0C83">
        <w:rPr>
          <w:rFonts w:ascii="Times New Roman" w:hAnsi="Times New Roman" w:cs="Times New Roman"/>
          <w:b/>
          <w:sz w:val="24"/>
          <w:szCs w:val="24"/>
          <w:u w:val="single"/>
        </w:rPr>
        <w:t xml:space="preserve">What </w:t>
      </w:r>
      <w:r>
        <w:rPr>
          <w:rFonts w:ascii="Times New Roman" w:hAnsi="Times New Roman" w:cs="Times New Roman"/>
          <w:b/>
          <w:sz w:val="24"/>
          <w:szCs w:val="24"/>
          <w:u w:val="single"/>
        </w:rPr>
        <w:t xml:space="preserve">role do transit providers have in designating / re-designating an </w:t>
      </w:r>
      <w:r w:rsidRPr="00EF0C83">
        <w:rPr>
          <w:rFonts w:ascii="Times New Roman" w:hAnsi="Times New Roman" w:cs="Times New Roman"/>
          <w:b/>
          <w:sz w:val="24"/>
          <w:szCs w:val="24"/>
          <w:u w:val="single"/>
        </w:rPr>
        <w:t>MPO?</w:t>
      </w:r>
    </w:p>
    <w:p w:rsidR="00AA49AE" w:rsidRDefault="00AA49AE" w:rsidP="00AA49AE">
      <w:pPr>
        <w:rPr>
          <w:rStyle w:val="Hyperlink"/>
          <w:rFonts w:ascii="Times New Roman" w:hAnsi="Times New Roman" w:cs="Times New Roman"/>
          <w:color w:val="auto"/>
          <w:sz w:val="24"/>
          <w:szCs w:val="24"/>
          <w:u w:val="none"/>
        </w:rPr>
      </w:pPr>
      <w:r w:rsidRPr="00C42C4D">
        <w:rPr>
          <w:rFonts w:ascii="Times New Roman" w:hAnsi="Times New Roman" w:cs="Times New Roman"/>
          <w:sz w:val="24"/>
          <w:szCs w:val="24"/>
        </w:rPr>
        <w:t xml:space="preserve">Transit </w:t>
      </w:r>
      <w:r>
        <w:rPr>
          <w:rFonts w:ascii="Times New Roman" w:hAnsi="Times New Roman" w:cs="Times New Roman"/>
          <w:sz w:val="24"/>
          <w:szCs w:val="24"/>
        </w:rPr>
        <w:t xml:space="preserve">providers </w:t>
      </w:r>
      <w:r w:rsidRPr="00C42C4D">
        <w:rPr>
          <w:rFonts w:ascii="Times New Roman" w:hAnsi="Times New Roman" w:cs="Times New Roman"/>
          <w:sz w:val="24"/>
          <w:szCs w:val="24"/>
        </w:rPr>
        <w:t xml:space="preserve">should work with </w:t>
      </w:r>
      <w:r>
        <w:rPr>
          <w:rFonts w:ascii="Times New Roman" w:hAnsi="Times New Roman" w:cs="Times New Roman"/>
          <w:sz w:val="24"/>
          <w:szCs w:val="24"/>
        </w:rPr>
        <w:t xml:space="preserve">their local elected </w:t>
      </w:r>
      <w:r w:rsidRPr="00C42C4D">
        <w:rPr>
          <w:rFonts w:ascii="Times New Roman" w:hAnsi="Times New Roman" w:cs="Times New Roman"/>
          <w:sz w:val="24"/>
          <w:szCs w:val="24"/>
        </w:rPr>
        <w:t>officials</w:t>
      </w:r>
      <w:r>
        <w:rPr>
          <w:rFonts w:ascii="Times New Roman" w:hAnsi="Times New Roman" w:cs="Times New Roman"/>
          <w:sz w:val="24"/>
          <w:szCs w:val="24"/>
        </w:rPr>
        <w:t xml:space="preserve"> </w:t>
      </w:r>
      <w:r w:rsidRPr="00C42C4D">
        <w:rPr>
          <w:rFonts w:ascii="Times New Roman" w:hAnsi="Times New Roman" w:cs="Times New Roman"/>
          <w:sz w:val="24"/>
          <w:szCs w:val="24"/>
        </w:rPr>
        <w:t>to support</w:t>
      </w:r>
      <w:r>
        <w:rPr>
          <w:rFonts w:ascii="Times New Roman" w:hAnsi="Times New Roman" w:cs="Times New Roman"/>
          <w:sz w:val="24"/>
          <w:szCs w:val="24"/>
        </w:rPr>
        <w:t xml:space="preserve"> MPO designation, MPO expansion</w:t>
      </w:r>
      <w:r w:rsidR="00533CC4">
        <w:rPr>
          <w:rFonts w:ascii="Times New Roman" w:hAnsi="Times New Roman" w:cs="Times New Roman"/>
          <w:sz w:val="24"/>
          <w:szCs w:val="24"/>
        </w:rPr>
        <w:t>,</w:t>
      </w:r>
      <w:r>
        <w:rPr>
          <w:rFonts w:ascii="Times New Roman" w:hAnsi="Times New Roman" w:cs="Times New Roman"/>
          <w:sz w:val="24"/>
          <w:szCs w:val="24"/>
        </w:rPr>
        <w:t xml:space="preserve"> or an MPO’s formal re-designation to include the new localities </w:t>
      </w:r>
      <w:hyperlink r:id="rId14" w:anchor="23:1.0.1.5.11.3.1.6" w:history="1">
        <w:r w:rsidRPr="002F6398">
          <w:rPr>
            <w:rStyle w:val="Hyperlink"/>
            <w:rFonts w:ascii="Times New Roman" w:hAnsi="Times New Roman" w:cs="Times New Roman"/>
            <w:sz w:val="24"/>
            <w:szCs w:val="24"/>
          </w:rPr>
          <w:t>(</w:t>
        </w:r>
        <w:r>
          <w:rPr>
            <w:rStyle w:val="Hyperlink"/>
            <w:rFonts w:ascii="Times New Roman" w:hAnsi="Times New Roman" w:cs="Times New Roman"/>
            <w:sz w:val="24"/>
            <w:szCs w:val="24"/>
          </w:rPr>
          <w:t xml:space="preserve">see </w:t>
        </w:r>
        <w:r w:rsidRPr="002F6398">
          <w:rPr>
            <w:rStyle w:val="Hyperlink"/>
            <w:rFonts w:ascii="Times New Roman" w:hAnsi="Times New Roman" w:cs="Times New Roman"/>
            <w:sz w:val="24"/>
            <w:szCs w:val="24"/>
          </w:rPr>
          <w:t>23 CFR 450.310)</w:t>
        </w:r>
      </w:hyperlink>
      <w:r w:rsidRPr="00C42C4D">
        <w:rPr>
          <w:rFonts w:ascii="Times New Roman" w:hAnsi="Times New Roman" w:cs="Times New Roman"/>
          <w:sz w:val="24"/>
          <w:szCs w:val="24"/>
        </w:rPr>
        <w:t xml:space="preserve">. </w:t>
      </w:r>
      <w:r>
        <w:rPr>
          <w:rStyle w:val="Hyperlink"/>
          <w:rFonts w:ascii="Times New Roman" w:hAnsi="Times New Roman" w:cs="Times New Roman"/>
          <w:color w:val="auto"/>
          <w:sz w:val="24"/>
          <w:szCs w:val="24"/>
          <w:u w:val="none"/>
        </w:rPr>
        <w:t xml:space="preserve">Transit providers should inform local officials and </w:t>
      </w:r>
      <w:r w:rsidR="00CE64DC">
        <w:rPr>
          <w:rStyle w:val="Hyperlink"/>
          <w:rFonts w:ascii="Times New Roman" w:hAnsi="Times New Roman" w:cs="Times New Roman"/>
          <w:color w:val="auto"/>
          <w:sz w:val="24"/>
          <w:szCs w:val="24"/>
          <w:u w:val="none"/>
        </w:rPr>
        <w:t xml:space="preserve">planning </w:t>
      </w:r>
      <w:r>
        <w:rPr>
          <w:rStyle w:val="Hyperlink"/>
          <w:rFonts w:ascii="Times New Roman" w:hAnsi="Times New Roman" w:cs="Times New Roman"/>
          <w:color w:val="auto"/>
          <w:sz w:val="24"/>
          <w:szCs w:val="24"/>
          <w:u w:val="none"/>
        </w:rPr>
        <w:t xml:space="preserve">partners that securing FTA funds to serve their communities is contingent upon MPO designation. Transit providers also may consider seeking voting membership on the MPO Board.  As </w:t>
      </w:r>
      <w:r w:rsidR="00533CC4">
        <w:rPr>
          <w:rStyle w:val="Hyperlink"/>
          <w:rFonts w:ascii="Times New Roman" w:hAnsi="Times New Roman" w:cs="Times New Roman"/>
          <w:color w:val="auto"/>
          <w:sz w:val="24"/>
          <w:szCs w:val="24"/>
          <w:u w:val="none"/>
        </w:rPr>
        <w:t>MPO B</w:t>
      </w:r>
      <w:r>
        <w:rPr>
          <w:rStyle w:val="Hyperlink"/>
          <w:rFonts w:ascii="Times New Roman" w:hAnsi="Times New Roman" w:cs="Times New Roman"/>
          <w:color w:val="auto"/>
          <w:sz w:val="24"/>
          <w:szCs w:val="24"/>
          <w:u w:val="none"/>
        </w:rPr>
        <w:t xml:space="preserve">oard members, they would have a stronger voice in setting the future regional transportation vision and agenda, as well as in advocating for their projects and strategies to be included in the metropolitan transportation plan (MTP) and transportation improvement program (TIP). As a note, </w:t>
      </w:r>
      <w:r>
        <w:rPr>
          <w:rFonts w:ascii="Times New Roman" w:hAnsi="Times New Roman" w:cs="Times New Roman"/>
          <w:sz w:val="24"/>
          <w:szCs w:val="24"/>
        </w:rPr>
        <w:t xml:space="preserve">the </w:t>
      </w:r>
      <w:r w:rsidRPr="00DD7A3B">
        <w:rPr>
          <w:rFonts w:ascii="Times New Roman" w:hAnsi="Times New Roman" w:cs="Times New Roman"/>
          <w:sz w:val="24"/>
          <w:szCs w:val="24"/>
        </w:rPr>
        <w:t>Moving Ahead for Progress in the 21st Century Act (MAP-21)</w:t>
      </w:r>
      <w:r>
        <w:rPr>
          <w:rFonts w:ascii="Times New Roman" w:hAnsi="Times New Roman" w:cs="Times New Roman"/>
          <w:sz w:val="24"/>
          <w:szCs w:val="24"/>
        </w:rPr>
        <w:t xml:space="preserve"> requires MPOs serving a Transportation Management Area (TMA)</w:t>
      </w:r>
      <w:r w:rsidR="00533CC4">
        <w:rPr>
          <w:rFonts w:ascii="Times New Roman" w:hAnsi="Times New Roman" w:cs="Times New Roman"/>
          <w:sz w:val="24"/>
          <w:szCs w:val="24"/>
        </w:rPr>
        <w:t xml:space="preserve">, which is an </w:t>
      </w:r>
      <w:r>
        <w:rPr>
          <w:rFonts w:ascii="Times New Roman" w:hAnsi="Times New Roman" w:cs="Times New Roman"/>
          <w:sz w:val="24"/>
          <w:szCs w:val="24"/>
        </w:rPr>
        <w:t>urbanized area with population over 200,000</w:t>
      </w:r>
      <w:r w:rsidR="00533CC4">
        <w:rPr>
          <w:rFonts w:ascii="Times New Roman" w:hAnsi="Times New Roman" w:cs="Times New Roman"/>
          <w:sz w:val="24"/>
          <w:szCs w:val="24"/>
        </w:rPr>
        <w:t xml:space="preserve">, </w:t>
      </w:r>
      <w:r>
        <w:rPr>
          <w:rFonts w:ascii="Times New Roman" w:hAnsi="Times New Roman" w:cs="Times New Roman"/>
          <w:sz w:val="24"/>
          <w:szCs w:val="24"/>
        </w:rPr>
        <w:t xml:space="preserve">to have transit representation by October 1, 2014 (see </w:t>
      </w:r>
      <w:hyperlink r:id="rId15" w:history="1">
        <w:r w:rsidRPr="00DD7A3B">
          <w:rPr>
            <w:rStyle w:val="Hyperlink"/>
            <w:rFonts w:ascii="Times New Roman" w:hAnsi="Times New Roman" w:cs="Times New Roman"/>
            <w:sz w:val="24"/>
            <w:szCs w:val="24"/>
          </w:rPr>
          <w:t>49 U.S.C. 5303(d)(2)(B)</w:t>
        </w:r>
      </w:hyperlink>
      <w:r>
        <w:rPr>
          <w:rFonts w:ascii="Times New Roman" w:hAnsi="Times New Roman" w:cs="Times New Roman"/>
          <w:sz w:val="24"/>
          <w:szCs w:val="24"/>
        </w:rPr>
        <w:t xml:space="preserve">. </w:t>
      </w:r>
      <w:r>
        <w:rPr>
          <w:rStyle w:val="Hyperlink"/>
          <w:rFonts w:ascii="Times New Roman" w:hAnsi="Times New Roman" w:cs="Times New Roman"/>
          <w:color w:val="auto"/>
          <w:sz w:val="24"/>
          <w:szCs w:val="24"/>
          <w:u w:val="none"/>
        </w:rPr>
        <w:t xml:space="preserve">Although transit representation in non-TMA MPOs is not required, non-TMA transit providers may seek such standing if the Governor and local communities </w:t>
      </w:r>
      <w:r w:rsidR="00533CC4">
        <w:rPr>
          <w:rStyle w:val="Hyperlink"/>
          <w:rFonts w:ascii="Times New Roman" w:hAnsi="Times New Roman" w:cs="Times New Roman"/>
          <w:color w:val="auto"/>
          <w:sz w:val="24"/>
          <w:szCs w:val="24"/>
          <w:u w:val="none"/>
        </w:rPr>
        <w:t>intend to re-designate</w:t>
      </w:r>
      <w:r>
        <w:rPr>
          <w:rStyle w:val="Hyperlink"/>
          <w:rFonts w:ascii="Times New Roman" w:hAnsi="Times New Roman" w:cs="Times New Roman"/>
          <w:color w:val="auto"/>
          <w:sz w:val="24"/>
          <w:szCs w:val="24"/>
          <w:u w:val="none"/>
        </w:rPr>
        <w:t xml:space="preserve"> the MPO.</w:t>
      </w:r>
    </w:p>
    <w:p w:rsidR="005E1168" w:rsidRDefault="005E1168" w:rsidP="00745333">
      <w:pPr>
        <w:rPr>
          <w:rFonts w:ascii="Times New Roman" w:hAnsi="Times New Roman" w:cs="Times New Roman"/>
          <w:b/>
          <w:sz w:val="24"/>
          <w:szCs w:val="24"/>
          <w:u w:val="single"/>
        </w:rPr>
      </w:pPr>
      <w:r>
        <w:rPr>
          <w:rFonts w:ascii="Times New Roman" w:hAnsi="Times New Roman" w:cs="Times New Roman"/>
          <w:b/>
          <w:sz w:val="24"/>
          <w:szCs w:val="24"/>
          <w:u w:val="single"/>
        </w:rPr>
        <w:t>Question #</w:t>
      </w:r>
      <w:r w:rsidR="007E5BCE">
        <w:rPr>
          <w:rFonts w:ascii="Times New Roman" w:hAnsi="Times New Roman" w:cs="Times New Roman"/>
          <w:b/>
          <w:sz w:val="24"/>
          <w:szCs w:val="24"/>
          <w:u w:val="single"/>
        </w:rPr>
        <w:t>4</w:t>
      </w:r>
      <w:r>
        <w:rPr>
          <w:rFonts w:ascii="Times New Roman" w:hAnsi="Times New Roman" w:cs="Times New Roman"/>
          <w:b/>
          <w:sz w:val="24"/>
          <w:szCs w:val="24"/>
          <w:u w:val="single"/>
        </w:rPr>
        <w:t xml:space="preserve">: What is the role of the transit provider in setting the </w:t>
      </w:r>
      <w:r w:rsidR="001C4B78">
        <w:rPr>
          <w:rFonts w:ascii="Times New Roman" w:hAnsi="Times New Roman" w:cs="Times New Roman"/>
          <w:b/>
          <w:sz w:val="24"/>
          <w:szCs w:val="24"/>
          <w:u w:val="single"/>
        </w:rPr>
        <w:t>Metropolitan Planning Area B</w:t>
      </w:r>
      <w:r>
        <w:rPr>
          <w:rFonts w:ascii="Times New Roman" w:hAnsi="Times New Roman" w:cs="Times New Roman"/>
          <w:b/>
          <w:sz w:val="24"/>
          <w:szCs w:val="24"/>
          <w:u w:val="single"/>
        </w:rPr>
        <w:t>oundary for the MPO?</w:t>
      </w:r>
    </w:p>
    <w:p w:rsidR="004316E8" w:rsidRDefault="003B73C9" w:rsidP="00745333">
      <w:pPr>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After each decennial census, </w:t>
      </w:r>
      <w:r w:rsidRPr="00F3022E">
        <w:rPr>
          <w:rFonts w:ascii="Times New Roman" w:hAnsi="Times New Roman" w:cs="Times New Roman"/>
          <w:sz w:val="24"/>
          <w:szCs w:val="24"/>
        </w:rPr>
        <w:t>MPOs, States</w:t>
      </w:r>
      <w:r>
        <w:rPr>
          <w:rFonts w:ascii="Times New Roman" w:hAnsi="Times New Roman" w:cs="Times New Roman"/>
          <w:sz w:val="24"/>
          <w:szCs w:val="24"/>
        </w:rPr>
        <w:t>,</w:t>
      </w:r>
      <w:r w:rsidRPr="00F3022E">
        <w:rPr>
          <w:rFonts w:ascii="Times New Roman" w:hAnsi="Times New Roman" w:cs="Times New Roman"/>
          <w:sz w:val="24"/>
          <w:szCs w:val="24"/>
        </w:rPr>
        <w:t xml:space="preserve"> and transit </w:t>
      </w:r>
      <w:r>
        <w:rPr>
          <w:rFonts w:ascii="Times New Roman" w:hAnsi="Times New Roman" w:cs="Times New Roman"/>
          <w:sz w:val="24"/>
          <w:szCs w:val="24"/>
        </w:rPr>
        <w:t>provider</w:t>
      </w:r>
      <w:r w:rsidRPr="00F3022E">
        <w:rPr>
          <w:rFonts w:ascii="Times New Roman" w:hAnsi="Times New Roman" w:cs="Times New Roman"/>
          <w:sz w:val="24"/>
          <w:szCs w:val="24"/>
        </w:rPr>
        <w:t xml:space="preserve">s </w:t>
      </w:r>
      <w:r>
        <w:rPr>
          <w:rFonts w:ascii="Times New Roman" w:hAnsi="Times New Roman" w:cs="Times New Roman"/>
          <w:sz w:val="24"/>
          <w:szCs w:val="24"/>
        </w:rPr>
        <w:t xml:space="preserve">jointly review the </w:t>
      </w:r>
      <w:r w:rsidR="00CE64DC">
        <w:rPr>
          <w:rFonts w:ascii="Times New Roman" w:hAnsi="Times New Roman" w:cs="Times New Roman"/>
          <w:sz w:val="24"/>
          <w:szCs w:val="24"/>
        </w:rPr>
        <w:t>M</w:t>
      </w:r>
      <w:r w:rsidRPr="002B7144">
        <w:rPr>
          <w:rFonts w:ascii="Times New Roman" w:hAnsi="Times New Roman" w:cs="Times New Roman"/>
          <w:sz w:val="24"/>
          <w:szCs w:val="24"/>
        </w:rPr>
        <w:t xml:space="preserve">etropolitan </w:t>
      </w:r>
      <w:r w:rsidR="00CE64DC">
        <w:rPr>
          <w:rFonts w:ascii="Times New Roman" w:hAnsi="Times New Roman" w:cs="Times New Roman"/>
          <w:sz w:val="24"/>
          <w:szCs w:val="24"/>
        </w:rPr>
        <w:t>P</w:t>
      </w:r>
      <w:r w:rsidRPr="002B7144">
        <w:rPr>
          <w:rFonts w:ascii="Times New Roman" w:hAnsi="Times New Roman" w:cs="Times New Roman"/>
          <w:sz w:val="24"/>
          <w:szCs w:val="24"/>
        </w:rPr>
        <w:t xml:space="preserve">lanning </w:t>
      </w:r>
      <w:r w:rsidR="00CE64DC">
        <w:rPr>
          <w:rFonts w:ascii="Times New Roman" w:hAnsi="Times New Roman" w:cs="Times New Roman"/>
          <w:sz w:val="24"/>
          <w:szCs w:val="24"/>
        </w:rPr>
        <w:t>A</w:t>
      </w:r>
      <w:r w:rsidRPr="002B7144">
        <w:rPr>
          <w:rFonts w:ascii="Times New Roman" w:hAnsi="Times New Roman" w:cs="Times New Roman"/>
          <w:sz w:val="24"/>
          <w:szCs w:val="24"/>
        </w:rPr>
        <w:t>rea</w:t>
      </w:r>
      <w:r>
        <w:rPr>
          <w:rFonts w:ascii="Times New Roman" w:hAnsi="Times New Roman" w:cs="Times New Roman"/>
          <w:sz w:val="24"/>
          <w:szCs w:val="24"/>
        </w:rPr>
        <w:t xml:space="preserve"> (MPA)</w:t>
      </w:r>
      <w:r w:rsidRPr="002B7144">
        <w:rPr>
          <w:rFonts w:ascii="Times New Roman" w:hAnsi="Times New Roman" w:cs="Times New Roman"/>
          <w:sz w:val="24"/>
          <w:szCs w:val="24"/>
        </w:rPr>
        <w:t xml:space="preserve"> boundaries</w:t>
      </w:r>
      <w:r>
        <w:rPr>
          <w:rFonts w:ascii="Times New Roman" w:hAnsi="Times New Roman" w:cs="Times New Roman"/>
          <w:sz w:val="24"/>
          <w:szCs w:val="24"/>
        </w:rPr>
        <w:t>, and adjust as necessary,</w:t>
      </w:r>
      <w:r w:rsidRPr="00F3022E">
        <w:rPr>
          <w:rFonts w:ascii="Times New Roman" w:hAnsi="Times New Roman" w:cs="Times New Roman"/>
          <w:sz w:val="24"/>
          <w:szCs w:val="24"/>
        </w:rPr>
        <w:t xml:space="preserve"> to </w:t>
      </w:r>
      <w:r>
        <w:rPr>
          <w:rFonts w:ascii="Times New Roman" w:hAnsi="Times New Roman" w:cs="Times New Roman"/>
          <w:sz w:val="24"/>
          <w:szCs w:val="24"/>
        </w:rPr>
        <w:t xml:space="preserve">maintain compliance with Federal law (see </w:t>
      </w:r>
      <w:hyperlink r:id="rId16" w:anchor="23:1.0.1.5.11.3.1.7" w:history="1">
        <w:r w:rsidRPr="003555E3">
          <w:rPr>
            <w:rStyle w:val="Hyperlink"/>
            <w:rFonts w:ascii="Times New Roman" w:hAnsi="Times New Roman" w:cs="Times New Roman"/>
            <w:sz w:val="24"/>
            <w:szCs w:val="24"/>
          </w:rPr>
          <w:t>23 CFR 450.312</w:t>
        </w:r>
      </w:hyperlink>
      <w:r>
        <w:rPr>
          <w:rFonts w:ascii="Times New Roman" w:hAnsi="Times New Roman" w:cs="Times New Roman"/>
          <w:sz w:val="24"/>
          <w:szCs w:val="24"/>
        </w:rPr>
        <w:t>)</w:t>
      </w:r>
      <w:r w:rsidRPr="00FB6967">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When an MPO is designated, expanded, or formally re-designated, transit providers should participate with local agencies, </w:t>
      </w:r>
      <w:r w:rsidR="00CE64DC">
        <w:rPr>
          <w:rStyle w:val="Hyperlink"/>
          <w:rFonts w:ascii="Times New Roman" w:hAnsi="Times New Roman" w:cs="Times New Roman"/>
          <w:color w:val="auto"/>
          <w:sz w:val="24"/>
          <w:szCs w:val="24"/>
          <w:u w:val="none"/>
        </w:rPr>
        <w:t xml:space="preserve">the </w:t>
      </w:r>
      <w:r>
        <w:rPr>
          <w:rStyle w:val="Hyperlink"/>
          <w:rFonts w:ascii="Times New Roman" w:hAnsi="Times New Roman" w:cs="Times New Roman"/>
          <w:color w:val="auto"/>
          <w:sz w:val="24"/>
          <w:szCs w:val="24"/>
          <w:u w:val="none"/>
        </w:rPr>
        <w:t>MPO, and the State in determining the MPA, and ensure that transit service areas are appropriately considered. The MPA boundary determines what projects and services come under the purview of the MPO or the State.</w:t>
      </w:r>
    </w:p>
    <w:p w:rsidR="00F2697D" w:rsidRDefault="00F2697D" w:rsidP="0074533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Question #</w:t>
      </w:r>
      <w:r w:rsidR="007E5BCE">
        <w:rPr>
          <w:rFonts w:ascii="Times New Roman" w:hAnsi="Times New Roman" w:cs="Times New Roman"/>
          <w:b/>
          <w:sz w:val="24"/>
          <w:szCs w:val="24"/>
          <w:u w:val="single"/>
        </w:rPr>
        <w:t>5</w:t>
      </w:r>
      <w:r>
        <w:rPr>
          <w:rFonts w:ascii="Times New Roman" w:hAnsi="Times New Roman" w:cs="Times New Roman"/>
          <w:b/>
          <w:sz w:val="24"/>
          <w:szCs w:val="24"/>
          <w:u w:val="single"/>
        </w:rPr>
        <w:t>: What is the role of the transit provider in preparing the M</w:t>
      </w:r>
      <w:r w:rsidR="00CE64DC">
        <w:rPr>
          <w:rFonts w:ascii="Times New Roman" w:hAnsi="Times New Roman" w:cs="Times New Roman"/>
          <w:b/>
          <w:sz w:val="24"/>
          <w:szCs w:val="24"/>
          <w:u w:val="single"/>
        </w:rPr>
        <w:t xml:space="preserve">etropolitan Planning </w:t>
      </w:r>
      <w:r>
        <w:rPr>
          <w:rFonts w:ascii="Times New Roman" w:hAnsi="Times New Roman" w:cs="Times New Roman"/>
          <w:b/>
          <w:sz w:val="24"/>
          <w:szCs w:val="24"/>
          <w:u w:val="single"/>
        </w:rPr>
        <w:t>Agreement</w:t>
      </w:r>
      <w:r w:rsidR="005308D4">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p>
    <w:p w:rsidR="004316E8" w:rsidRPr="004316E8" w:rsidRDefault="004316E8" w:rsidP="004316E8">
      <w:pPr>
        <w:rPr>
          <w:rFonts w:ascii="Times New Roman" w:hAnsi="Times New Roman" w:cs="Times New Roman"/>
          <w:b/>
          <w:sz w:val="24"/>
          <w:szCs w:val="24"/>
          <w:u w:val="single"/>
        </w:rPr>
      </w:pPr>
      <w:r w:rsidRPr="004316E8">
        <w:rPr>
          <w:rFonts w:ascii="Times New Roman" w:hAnsi="Times New Roman" w:cs="Times New Roman"/>
          <w:sz w:val="24"/>
          <w:szCs w:val="24"/>
        </w:rPr>
        <w:t xml:space="preserve">When an MPO is designated or re-designated, the </w:t>
      </w:r>
      <w:r>
        <w:rPr>
          <w:rFonts w:ascii="Times New Roman" w:hAnsi="Times New Roman" w:cs="Times New Roman"/>
          <w:sz w:val="24"/>
          <w:szCs w:val="24"/>
        </w:rPr>
        <w:t>M</w:t>
      </w:r>
      <w:r w:rsidRPr="004316E8">
        <w:rPr>
          <w:rFonts w:ascii="Times New Roman" w:hAnsi="Times New Roman" w:cs="Times New Roman"/>
          <w:sz w:val="24"/>
          <w:szCs w:val="24"/>
        </w:rPr>
        <w:t xml:space="preserve">etropolitan </w:t>
      </w:r>
      <w:r>
        <w:rPr>
          <w:rFonts w:ascii="Times New Roman" w:hAnsi="Times New Roman" w:cs="Times New Roman"/>
          <w:sz w:val="24"/>
          <w:szCs w:val="24"/>
        </w:rPr>
        <w:t>P</w:t>
      </w:r>
      <w:r w:rsidRPr="004316E8">
        <w:rPr>
          <w:rFonts w:ascii="Times New Roman" w:hAnsi="Times New Roman" w:cs="Times New Roman"/>
          <w:sz w:val="24"/>
          <w:szCs w:val="24"/>
        </w:rPr>
        <w:t xml:space="preserve">lanning </w:t>
      </w:r>
      <w:r>
        <w:rPr>
          <w:rFonts w:ascii="Times New Roman" w:hAnsi="Times New Roman" w:cs="Times New Roman"/>
          <w:sz w:val="24"/>
          <w:szCs w:val="24"/>
        </w:rPr>
        <w:t>A</w:t>
      </w:r>
      <w:r w:rsidRPr="004316E8">
        <w:rPr>
          <w:rFonts w:ascii="Times New Roman" w:hAnsi="Times New Roman" w:cs="Times New Roman"/>
          <w:sz w:val="24"/>
          <w:szCs w:val="24"/>
        </w:rPr>
        <w:t>greement</w:t>
      </w:r>
      <w:r>
        <w:rPr>
          <w:rFonts w:ascii="Times New Roman" w:hAnsi="Times New Roman" w:cs="Times New Roman"/>
          <w:sz w:val="24"/>
          <w:szCs w:val="24"/>
        </w:rPr>
        <w:t xml:space="preserve">, which </w:t>
      </w:r>
      <w:r w:rsidRPr="004316E8">
        <w:rPr>
          <w:rFonts w:ascii="Times New Roman" w:hAnsi="Times New Roman" w:cs="Times New Roman"/>
          <w:sz w:val="24"/>
          <w:szCs w:val="24"/>
        </w:rPr>
        <w:t>identifies their  mutual responsibilities in carrying out the planning process</w:t>
      </w:r>
      <w:r>
        <w:rPr>
          <w:rFonts w:ascii="Times New Roman" w:hAnsi="Times New Roman" w:cs="Times New Roman"/>
          <w:sz w:val="24"/>
          <w:szCs w:val="24"/>
        </w:rPr>
        <w:t>, is</w:t>
      </w:r>
      <w:r w:rsidRPr="004316E8">
        <w:rPr>
          <w:rFonts w:ascii="Times New Roman" w:hAnsi="Times New Roman" w:cs="Times New Roman"/>
          <w:sz w:val="24"/>
          <w:szCs w:val="24"/>
        </w:rPr>
        <w:t xml:space="preserve"> prepared </w:t>
      </w:r>
      <w:r>
        <w:rPr>
          <w:rFonts w:ascii="Times New Roman" w:hAnsi="Times New Roman" w:cs="Times New Roman"/>
          <w:sz w:val="24"/>
          <w:szCs w:val="24"/>
        </w:rPr>
        <w:t xml:space="preserve">or modified </w:t>
      </w:r>
      <w:r w:rsidRPr="004316E8">
        <w:rPr>
          <w:rFonts w:ascii="Times New Roman" w:hAnsi="Times New Roman" w:cs="Times New Roman"/>
          <w:sz w:val="24"/>
          <w:szCs w:val="24"/>
        </w:rPr>
        <w:t xml:space="preserve">cooperatively by the MPO, the State(s), and public transportation provider(s) (see </w:t>
      </w:r>
      <w:hyperlink r:id="rId17" w:anchor="23:1.0.1.5.11.3.1.7" w:history="1">
        <w:r w:rsidRPr="004316E8">
          <w:rPr>
            <w:rFonts w:ascii="Times New Roman" w:hAnsi="Times New Roman" w:cs="Times New Roman"/>
            <w:color w:val="0000FF" w:themeColor="hyperlink"/>
            <w:sz w:val="24"/>
            <w:szCs w:val="24"/>
            <w:u w:val="single"/>
          </w:rPr>
          <w:t>23 CFR 450.314</w:t>
        </w:r>
      </w:hyperlink>
      <w:r w:rsidRPr="004316E8">
        <w:rPr>
          <w:rFonts w:ascii="Times New Roman" w:hAnsi="Times New Roman" w:cs="Times New Roman"/>
          <w:sz w:val="24"/>
          <w:szCs w:val="24"/>
        </w:rPr>
        <w:t>). Transit providers should review the Agreement to ensure they are afforded a voice in both the MPO’s policy and technical work, by their participation/representation on policy and technical “advisory committees.”</w:t>
      </w:r>
    </w:p>
    <w:p w:rsidR="002B5A9B" w:rsidRPr="00847D70" w:rsidRDefault="002B5A9B" w:rsidP="002B5A9B">
      <w:pPr>
        <w:rPr>
          <w:rFonts w:ascii="Times New Roman" w:hAnsi="Times New Roman" w:cs="Times New Roman"/>
          <w:b/>
          <w:sz w:val="24"/>
          <w:szCs w:val="24"/>
          <w:u w:val="single"/>
        </w:rPr>
      </w:pPr>
      <w:r w:rsidRPr="00847D70">
        <w:rPr>
          <w:rFonts w:ascii="Times New Roman" w:hAnsi="Times New Roman" w:cs="Times New Roman"/>
          <w:b/>
          <w:sz w:val="24"/>
          <w:szCs w:val="24"/>
          <w:u w:val="single"/>
        </w:rPr>
        <w:t xml:space="preserve">Question </w:t>
      </w:r>
      <w:r w:rsidR="007E5BCE" w:rsidRPr="00847D70">
        <w:rPr>
          <w:rFonts w:ascii="Times New Roman" w:hAnsi="Times New Roman" w:cs="Times New Roman"/>
          <w:b/>
          <w:sz w:val="24"/>
          <w:szCs w:val="24"/>
          <w:u w:val="single"/>
        </w:rPr>
        <w:t>6</w:t>
      </w:r>
      <w:r w:rsidRPr="00847D70">
        <w:rPr>
          <w:rFonts w:ascii="Times New Roman" w:hAnsi="Times New Roman" w:cs="Times New Roman"/>
          <w:b/>
          <w:sz w:val="24"/>
          <w:szCs w:val="24"/>
          <w:u w:val="single"/>
        </w:rPr>
        <w:t xml:space="preserve">: What is the role of the transit provider in preparing the Unified Planning Work Program (UPWP) of a </w:t>
      </w:r>
      <w:r w:rsidR="0042777E" w:rsidRPr="00847D70">
        <w:rPr>
          <w:rFonts w:ascii="Times New Roman" w:hAnsi="Times New Roman" w:cs="Times New Roman"/>
          <w:b/>
          <w:sz w:val="24"/>
          <w:szCs w:val="24"/>
          <w:u w:val="single"/>
        </w:rPr>
        <w:t>n</w:t>
      </w:r>
      <w:r w:rsidRPr="00847D70">
        <w:rPr>
          <w:rFonts w:ascii="Times New Roman" w:hAnsi="Times New Roman" w:cs="Times New Roman"/>
          <w:b/>
          <w:sz w:val="24"/>
          <w:szCs w:val="24"/>
          <w:u w:val="single"/>
        </w:rPr>
        <w:t>ew MPO?</w:t>
      </w:r>
    </w:p>
    <w:p w:rsidR="00ED7202" w:rsidRPr="00ED7202" w:rsidRDefault="00ED7202" w:rsidP="00687DF7">
      <w:pPr>
        <w:autoSpaceDE w:val="0"/>
        <w:autoSpaceDN w:val="0"/>
        <w:adjustRightInd w:val="0"/>
        <w:spacing w:after="0"/>
        <w:rPr>
          <w:rFonts w:ascii="Times New Roman" w:hAnsi="Times New Roman" w:cs="Times New Roman"/>
          <w:color w:val="000000"/>
          <w:sz w:val="24"/>
          <w:szCs w:val="24"/>
        </w:rPr>
      </w:pPr>
      <w:r w:rsidRPr="00ED7202">
        <w:rPr>
          <w:rFonts w:ascii="Times New Roman" w:hAnsi="Times New Roman" w:cs="Times New Roman"/>
          <w:color w:val="000000"/>
          <w:sz w:val="24"/>
          <w:szCs w:val="24"/>
        </w:rPr>
        <w:t xml:space="preserve">The Unified Planning Work Program (UPWP) is a </w:t>
      </w:r>
      <w:r w:rsidRPr="00ED7202">
        <w:rPr>
          <w:rFonts w:ascii="Times New Roman" w:hAnsi="Times New Roman" w:cs="Times New Roman"/>
          <w:color w:val="000000"/>
          <w:sz w:val="23"/>
          <w:szCs w:val="23"/>
        </w:rPr>
        <w:t>program of work activities that augment</w:t>
      </w:r>
      <w:r>
        <w:rPr>
          <w:rFonts w:ascii="Times New Roman" w:hAnsi="Times New Roman" w:cs="Times New Roman"/>
          <w:color w:val="000000"/>
          <w:sz w:val="23"/>
          <w:szCs w:val="23"/>
        </w:rPr>
        <w:t>s</w:t>
      </w:r>
      <w:r w:rsidRPr="00ED7202">
        <w:rPr>
          <w:rFonts w:ascii="Times New Roman" w:hAnsi="Times New Roman" w:cs="Times New Roman"/>
          <w:color w:val="000000"/>
          <w:sz w:val="23"/>
          <w:szCs w:val="23"/>
        </w:rPr>
        <w:t xml:space="preserve"> and implement</w:t>
      </w:r>
      <w:r>
        <w:rPr>
          <w:rFonts w:ascii="Times New Roman" w:hAnsi="Times New Roman" w:cs="Times New Roman"/>
          <w:color w:val="000000"/>
          <w:sz w:val="23"/>
          <w:szCs w:val="23"/>
        </w:rPr>
        <w:t>s</w:t>
      </w:r>
      <w:r w:rsidRPr="00ED7202">
        <w:rPr>
          <w:rFonts w:ascii="Times New Roman" w:hAnsi="Times New Roman" w:cs="Times New Roman"/>
          <w:color w:val="000000"/>
          <w:sz w:val="23"/>
          <w:szCs w:val="23"/>
        </w:rPr>
        <w:t xml:space="preserve"> the transportation planning process within a metropolitan planning area </w:t>
      </w:r>
      <w:r w:rsidR="00687DF7">
        <w:rPr>
          <w:rFonts w:ascii="Times New Roman" w:hAnsi="Times New Roman" w:cs="Times New Roman"/>
          <w:color w:val="000000"/>
          <w:sz w:val="23"/>
          <w:szCs w:val="23"/>
        </w:rPr>
        <w:t xml:space="preserve">during </w:t>
      </w:r>
      <w:r w:rsidRPr="00ED7202">
        <w:rPr>
          <w:rFonts w:ascii="Times New Roman" w:hAnsi="Times New Roman" w:cs="Times New Roman"/>
          <w:color w:val="000000"/>
          <w:sz w:val="23"/>
          <w:szCs w:val="23"/>
        </w:rPr>
        <w:t>the next one or two-year period. A UPWP includes a description of the planning work activities, identifying the resulting planning  products, the agenc</w:t>
      </w:r>
      <w:r w:rsidR="00CE64DC">
        <w:rPr>
          <w:rFonts w:ascii="Times New Roman" w:hAnsi="Times New Roman" w:cs="Times New Roman"/>
          <w:color w:val="000000"/>
          <w:sz w:val="23"/>
          <w:szCs w:val="23"/>
        </w:rPr>
        <w:t>ies</w:t>
      </w:r>
      <w:r w:rsidRPr="00ED7202">
        <w:rPr>
          <w:rFonts w:ascii="Times New Roman" w:hAnsi="Times New Roman" w:cs="Times New Roman"/>
          <w:color w:val="000000"/>
          <w:sz w:val="23"/>
          <w:szCs w:val="23"/>
        </w:rPr>
        <w:t xml:space="preserve"> completing the work task</w:t>
      </w:r>
      <w:r w:rsidR="00CE64DC">
        <w:rPr>
          <w:rFonts w:ascii="Times New Roman" w:hAnsi="Times New Roman" w:cs="Times New Roman"/>
          <w:color w:val="000000"/>
          <w:sz w:val="23"/>
          <w:szCs w:val="23"/>
        </w:rPr>
        <w:t>s</w:t>
      </w:r>
      <w:r w:rsidRPr="00ED7202">
        <w:rPr>
          <w:rFonts w:ascii="Times New Roman" w:hAnsi="Times New Roman" w:cs="Times New Roman"/>
          <w:color w:val="000000"/>
          <w:sz w:val="23"/>
          <w:szCs w:val="23"/>
        </w:rPr>
        <w:t xml:space="preserve">, the schedules and time frames, work task cost estimates, and the associated source(s) of funds </w:t>
      </w:r>
      <w:r w:rsidRPr="00ED7202">
        <w:rPr>
          <w:rFonts w:ascii="Times New Roman" w:hAnsi="Times New Roman" w:cs="Times New Roman"/>
          <w:color w:val="000000"/>
          <w:sz w:val="24"/>
          <w:szCs w:val="24"/>
        </w:rPr>
        <w:t xml:space="preserve">(see </w:t>
      </w:r>
      <w:hyperlink r:id="rId18" w:anchor="23:1.0.1.5.11.3.1.5" w:history="1">
        <w:r w:rsidRPr="00ED7202">
          <w:rPr>
            <w:rFonts w:ascii="Times New Roman" w:hAnsi="Times New Roman" w:cs="Times New Roman"/>
            <w:color w:val="0000FF" w:themeColor="hyperlink"/>
            <w:sz w:val="24"/>
            <w:szCs w:val="24"/>
            <w:u w:val="single"/>
          </w:rPr>
          <w:t>23 CFR 450.308</w:t>
        </w:r>
      </w:hyperlink>
      <w:r w:rsidRPr="00ED7202">
        <w:rPr>
          <w:rFonts w:ascii="Times New Roman" w:hAnsi="Times New Roman" w:cs="Times New Roman"/>
          <w:color w:val="000000"/>
          <w:sz w:val="24"/>
          <w:szCs w:val="24"/>
        </w:rPr>
        <w:t xml:space="preserve">). Once the MPO is designated, transit providers should participate in the development of the UPWP.  They can propose activities that build that the MPO’s technical capacity </w:t>
      </w:r>
      <w:r>
        <w:rPr>
          <w:rFonts w:ascii="Times New Roman" w:hAnsi="Times New Roman" w:cs="Times New Roman"/>
          <w:color w:val="000000"/>
          <w:sz w:val="24"/>
          <w:szCs w:val="24"/>
        </w:rPr>
        <w:t xml:space="preserve">to plan future </w:t>
      </w:r>
      <w:r w:rsidRPr="00ED7202">
        <w:rPr>
          <w:rFonts w:ascii="Times New Roman" w:hAnsi="Times New Roman" w:cs="Times New Roman"/>
          <w:color w:val="000000"/>
          <w:sz w:val="24"/>
          <w:szCs w:val="24"/>
        </w:rPr>
        <w:t xml:space="preserve">transit and multimodal strategies for the MPA.  This may include transit studies that identify and document future corridor needs, thereby </w:t>
      </w:r>
      <w:r>
        <w:rPr>
          <w:rFonts w:ascii="Times New Roman" w:hAnsi="Times New Roman" w:cs="Times New Roman"/>
          <w:color w:val="000000"/>
          <w:sz w:val="24"/>
          <w:szCs w:val="24"/>
        </w:rPr>
        <w:t>establish</w:t>
      </w:r>
      <w:r w:rsidR="00CE64DC">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the rationale for </w:t>
      </w:r>
      <w:r w:rsidRPr="00ED7202">
        <w:rPr>
          <w:rFonts w:ascii="Times New Roman" w:hAnsi="Times New Roman" w:cs="Times New Roman"/>
          <w:color w:val="000000"/>
          <w:sz w:val="24"/>
          <w:szCs w:val="24"/>
        </w:rPr>
        <w:t xml:space="preserve">transit projects in the MTP and TIP. Transit providers should also review UPWP tasks </w:t>
      </w:r>
      <w:r>
        <w:rPr>
          <w:rFonts w:ascii="Times New Roman" w:hAnsi="Times New Roman" w:cs="Times New Roman"/>
          <w:color w:val="000000"/>
          <w:sz w:val="24"/>
          <w:szCs w:val="24"/>
        </w:rPr>
        <w:t xml:space="preserve">proposed by other agencies </w:t>
      </w:r>
      <w:r w:rsidRPr="00ED7202">
        <w:rPr>
          <w:rFonts w:ascii="Times New Roman" w:hAnsi="Times New Roman" w:cs="Times New Roman"/>
          <w:color w:val="000000"/>
          <w:sz w:val="24"/>
          <w:szCs w:val="24"/>
        </w:rPr>
        <w:t xml:space="preserve">to ensure that transit options are appropriately considered. A full description of the UPWP, including a list of eligible planning activities, is provided in </w:t>
      </w:r>
      <w:hyperlink r:id="rId19" w:history="1">
        <w:r w:rsidRPr="00ED7202">
          <w:rPr>
            <w:rFonts w:ascii="Times New Roman" w:hAnsi="Times New Roman" w:cs="Times New Roman"/>
            <w:color w:val="0000FF" w:themeColor="hyperlink"/>
            <w:sz w:val="24"/>
            <w:szCs w:val="24"/>
            <w:u w:val="single"/>
          </w:rPr>
          <w:t>FTA Circular 8100.1C</w:t>
        </w:r>
      </w:hyperlink>
      <w:r w:rsidRPr="00ED7202">
        <w:rPr>
          <w:rFonts w:ascii="Times New Roman" w:hAnsi="Times New Roman" w:cs="Times New Roman"/>
          <w:color w:val="000000"/>
          <w:sz w:val="24"/>
          <w:szCs w:val="24"/>
        </w:rPr>
        <w:t>.</w:t>
      </w:r>
    </w:p>
    <w:p w:rsidR="00930E7D" w:rsidRDefault="00930E7D" w:rsidP="00847D70">
      <w:pPr>
        <w:spacing w:after="0"/>
        <w:rPr>
          <w:rFonts w:ascii="Times New Roman" w:hAnsi="Times New Roman" w:cs="Times New Roman"/>
          <w:b/>
          <w:sz w:val="24"/>
          <w:szCs w:val="24"/>
          <w:u w:val="single"/>
        </w:rPr>
      </w:pPr>
    </w:p>
    <w:p w:rsidR="00987FFA" w:rsidRPr="00987FFA" w:rsidRDefault="00987FFA" w:rsidP="00987FFA">
      <w:pPr>
        <w:rPr>
          <w:rFonts w:ascii="Times New Roman" w:hAnsi="Times New Roman" w:cs="Times New Roman"/>
          <w:b/>
          <w:sz w:val="24"/>
          <w:szCs w:val="24"/>
          <w:u w:val="single"/>
        </w:rPr>
      </w:pPr>
      <w:r w:rsidRPr="00987FFA">
        <w:rPr>
          <w:rFonts w:ascii="Times New Roman" w:hAnsi="Times New Roman" w:cs="Times New Roman"/>
          <w:b/>
          <w:sz w:val="24"/>
          <w:szCs w:val="24"/>
          <w:u w:val="single"/>
        </w:rPr>
        <w:t xml:space="preserve">Question #7: What FTA funding </w:t>
      </w:r>
      <w:proofErr w:type="gramStart"/>
      <w:r w:rsidRPr="00987FFA">
        <w:rPr>
          <w:rFonts w:ascii="Times New Roman" w:hAnsi="Times New Roman" w:cs="Times New Roman"/>
          <w:b/>
          <w:sz w:val="24"/>
          <w:szCs w:val="24"/>
          <w:u w:val="single"/>
        </w:rPr>
        <w:t>can</w:t>
      </w:r>
      <w:proofErr w:type="gramEnd"/>
      <w:r w:rsidRPr="00987FFA">
        <w:rPr>
          <w:rFonts w:ascii="Times New Roman" w:hAnsi="Times New Roman" w:cs="Times New Roman"/>
          <w:b/>
          <w:sz w:val="24"/>
          <w:szCs w:val="24"/>
          <w:u w:val="single"/>
        </w:rPr>
        <w:t xml:space="preserve"> a transit operator use to </w:t>
      </w:r>
      <w:r w:rsidR="00DA26CD">
        <w:rPr>
          <w:rFonts w:ascii="Times New Roman" w:hAnsi="Times New Roman" w:cs="Times New Roman"/>
          <w:b/>
          <w:sz w:val="24"/>
          <w:szCs w:val="24"/>
          <w:u w:val="single"/>
        </w:rPr>
        <w:t xml:space="preserve">support </w:t>
      </w:r>
      <w:r w:rsidRPr="00987FFA">
        <w:rPr>
          <w:rFonts w:ascii="Times New Roman" w:hAnsi="Times New Roman" w:cs="Times New Roman"/>
          <w:b/>
          <w:sz w:val="24"/>
          <w:szCs w:val="24"/>
          <w:u w:val="single"/>
        </w:rPr>
        <w:t>planning activities?</w:t>
      </w:r>
    </w:p>
    <w:p w:rsidR="00987FFA" w:rsidRPr="00DA26CD" w:rsidRDefault="009035B0" w:rsidP="000825DD">
      <w:pPr>
        <w:rPr>
          <w:rFonts w:ascii="Times New Roman" w:hAnsi="Times New Roman" w:cs="Times New Roman"/>
          <w:sz w:val="24"/>
          <w:szCs w:val="24"/>
        </w:rPr>
      </w:pPr>
      <w:r>
        <w:rPr>
          <w:rFonts w:ascii="Times New Roman" w:hAnsi="Times New Roman" w:cs="Times New Roman"/>
          <w:sz w:val="24"/>
          <w:szCs w:val="24"/>
        </w:rPr>
        <w:t xml:space="preserve">FTA provides </w:t>
      </w:r>
      <w:r w:rsidR="003B3C49">
        <w:rPr>
          <w:rFonts w:ascii="Times New Roman" w:hAnsi="Times New Roman" w:cs="Times New Roman"/>
          <w:sz w:val="24"/>
          <w:szCs w:val="24"/>
        </w:rPr>
        <w:t xml:space="preserve">formula </w:t>
      </w:r>
      <w:r>
        <w:rPr>
          <w:rFonts w:ascii="Times New Roman" w:hAnsi="Times New Roman" w:cs="Times New Roman"/>
          <w:sz w:val="24"/>
          <w:szCs w:val="24"/>
        </w:rPr>
        <w:t xml:space="preserve">funding </w:t>
      </w:r>
      <w:r w:rsidR="003B3C49">
        <w:rPr>
          <w:rFonts w:ascii="Times New Roman" w:hAnsi="Times New Roman" w:cs="Times New Roman"/>
          <w:sz w:val="24"/>
          <w:szCs w:val="24"/>
        </w:rPr>
        <w:t xml:space="preserve">to </w:t>
      </w:r>
      <w:r>
        <w:rPr>
          <w:rFonts w:ascii="Times New Roman" w:hAnsi="Times New Roman" w:cs="Times New Roman"/>
          <w:sz w:val="24"/>
          <w:szCs w:val="24"/>
        </w:rPr>
        <w:t xml:space="preserve">MPOs </w:t>
      </w:r>
      <w:r w:rsidR="003B3C49">
        <w:rPr>
          <w:rFonts w:ascii="Times New Roman" w:hAnsi="Times New Roman" w:cs="Times New Roman"/>
          <w:sz w:val="24"/>
          <w:szCs w:val="24"/>
        </w:rPr>
        <w:t xml:space="preserve">for </w:t>
      </w:r>
      <w:r>
        <w:rPr>
          <w:rFonts w:ascii="Times New Roman" w:hAnsi="Times New Roman" w:cs="Times New Roman"/>
          <w:sz w:val="24"/>
          <w:szCs w:val="24"/>
        </w:rPr>
        <w:t>multimodal planning</w:t>
      </w:r>
      <w:r w:rsidR="003B3C49">
        <w:rPr>
          <w:rFonts w:ascii="Times New Roman" w:hAnsi="Times New Roman" w:cs="Times New Roman"/>
          <w:sz w:val="24"/>
          <w:szCs w:val="24"/>
        </w:rPr>
        <w:t xml:space="preserve">, </w:t>
      </w:r>
      <w:r w:rsidR="004F0B31">
        <w:rPr>
          <w:rFonts w:ascii="Times New Roman" w:hAnsi="Times New Roman" w:cs="Times New Roman"/>
          <w:sz w:val="24"/>
          <w:szCs w:val="24"/>
        </w:rPr>
        <w:t xml:space="preserve">for which </w:t>
      </w:r>
      <w:r w:rsidR="003B3C49">
        <w:rPr>
          <w:rFonts w:ascii="Times New Roman" w:hAnsi="Times New Roman" w:cs="Times New Roman"/>
          <w:sz w:val="24"/>
          <w:szCs w:val="24"/>
        </w:rPr>
        <w:t xml:space="preserve">transit providers </w:t>
      </w:r>
      <w:r w:rsidR="004F0B31">
        <w:rPr>
          <w:rFonts w:ascii="Times New Roman" w:hAnsi="Times New Roman" w:cs="Times New Roman"/>
          <w:sz w:val="24"/>
          <w:szCs w:val="24"/>
        </w:rPr>
        <w:t xml:space="preserve">may propose </w:t>
      </w:r>
      <w:r w:rsidR="003B3C49">
        <w:rPr>
          <w:rFonts w:ascii="Times New Roman" w:hAnsi="Times New Roman" w:cs="Times New Roman"/>
          <w:sz w:val="24"/>
          <w:szCs w:val="24"/>
        </w:rPr>
        <w:t xml:space="preserve">transit-related activities </w:t>
      </w:r>
      <w:r w:rsidR="004F0B31">
        <w:rPr>
          <w:rFonts w:ascii="Times New Roman" w:hAnsi="Times New Roman" w:cs="Times New Roman"/>
          <w:sz w:val="24"/>
          <w:szCs w:val="24"/>
        </w:rPr>
        <w:t xml:space="preserve">to </w:t>
      </w:r>
      <w:r w:rsidR="003B3C49">
        <w:rPr>
          <w:rFonts w:ascii="Times New Roman" w:hAnsi="Times New Roman" w:cs="Times New Roman"/>
          <w:sz w:val="24"/>
          <w:szCs w:val="24"/>
        </w:rPr>
        <w:t xml:space="preserve">list in the UPWP (see </w:t>
      </w:r>
      <w:hyperlink r:id="rId20" w:history="1">
        <w:r w:rsidR="003B3C49" w:rsidRPr="003B3C49">
          <w:rPr>
            <w:rStyle w:val="Hyperlink"/>
            <w:rFonts w:ascii="Times New Roman" w:hAnsi="Times New Roman" w:cs="Times New Roman"/>
            <w:sz w:val="24"/>
            <w:szCs w:val="24"/>
          </w:rPr>
          <w:t>49 U.S.C. 5303(d)</w:t>
        </w:r>
      </w:hyperlink>
      <w:r w:rsidR="003B3C49">
        <w:rPr>
          <w:rFonts w:ascii="Times New Roman" w:hAnsi="Times New Roman" w:cs="Times New Roman"/>
          <w:sz w:val="24"/>
          <w:szCs w:val="24"/>
        </w:rPr>
        <w:t xml:space="preserve">). </w:t>
      </w:r>
      <w:r w:rsidR="00B60D2B">
        <w:rPr>
          <w:rFonts w:ascii="Times New Roman" w:hAnsi="Times New Roman" w:cs="Times New Roman"/>
          <w:sz w:val="24"/>
          <w:szCs w:val="24"/>
        </w:rPr>
        <w:t>‘</w:t>
      </w:r>
      <w:r w:rsidR="00AA250B">
        <w:rPr>
          <w:rFonts w:ascii="Times New Roman" w:hAnsi="Times New Roman" w:cs="Times New Roman"/>
          <w:sz w:val="24"/>
          <w:szCs w:val="24"/>
        </w:rPr>
        <w:t>P</w:t>
      </w:r>
      <w:r w:rsidR="00B60D2B">
        <w:rPr>
          <w:rFonts w:ascii="Times New Roman" w:hAnsi="Times New Roman" w:cs="Times New Roman"/>
          <w:sz w:val="24"/>
          <w:szCs w:val="24"/>
        </w:rPr>
        <w:t xml:space="preserve">lanning’ </w:t>
      </w:r>
      <w:r w:rsidR="00AA250B">
        <w:rPr>
          <w:rFonts w:ascii="Times New Roman" w:hAnsi="Times New Roman" w:cs="Times New Roman"/>
          <w:sz w:val="24"/>
          <w:szCs w:val="24"/>
        </w:rPr>
        <w:t xml:space="preserve">also </w:t>
      </w:r>
      <w:r w:rsidR="00B60D2B">
        <w:rPr>
          <w:rFonts w:ascii="Times New Roman" w:hAnsi="Times New Roman" w:cs="Times New Roman"/>
          <w:sz w:val="24"/>
          <w:szCs w:val="24"/>
        </w:rPr>
        <w:t xml:space="preserve">is eligible </w:t>
      </w:r>
      <w:r w:rsidR="00476147">
        <w:rPr>
          <w:rFonts w:ascii="Times New Roman" w:hAnsi="Times New Roman" w:cs="Times New Roman"/>
          <w:sz w:val="24"/>
          <w:szCs w:val="24"/>
        </w:rPr>
        <w:t xml:space="preserve">under FTA’s Urban Formula Program (see </w:t>
      </w:r>
      <w:hyperlink r:id="rId21" w:history="1">
        <w:r w:rsidR="00476147" w:rsidRPr="00476147">
          <w:rPr>
            <w:rStyle w:val="Hyperlink"/>
            <w:rFonts w:ascii="Times New Roman" w:hAnsi="Times New Roman" w:cs="Times New Roman"/>
            <w:sz w:val="24"/>
            <w:szCs w:val="24"/>
          </w:rPr>
          <w:t>FTA Circular 9030.1D</w:t>
        </w:r>
      </w:hyperlink>
      <w:r w:rsidR="00476147">
        <w:rPr>
          <w:rFonts w:ascii="Times New Roman" w:hAnsi="Times New Roman" w:cs="Times New Roman"/>
          <w:sz w:val="24"/>
          <w:szCs w:val="24"/>
        </w:rPr>
        <w:t>)</w:t>
      </w:r>
      <w:r w:rsidR="002845EE">
        <w:rPr>
          <w:rFonts w:ascii="Times New Roman" w:hAnsi="Times New Roman" w:cs="Times New Roman"/>
          <w:sz w:val="24"/>
          <w:szCs w:val="24"/>
        </w:rPr>
        <w:t>, and transit providers should consider using those funds to support their service and capital needs planning</w:t>
      </w:r>
      <w:r w:rsidR="00AA250B">
        <w:rPr>
          <w:rFonts w:ascii="Times New Roman" w:hAnsi="Times New Roman" w:cs="Times New Roman"/>
          <w:sz w:val="24"/>
          <w:szCs w:val="24"/>
        </w:rPr>
        <w:t>.</w:t>
      </w:r>
    </w:p>
    <w:p w:rsidR="00CD751A" w:rsidRDefault="00CD751A" w:rsidP="000825DD">
      <w:pPr>
        <w:rPr>
          <w:rFonts w:ascii="Times New Roman" w:hAnsi="Times New Roman" w:cs="Times New Roman"/>
          <w:b/>
          <w:sz w:val="24"/>
          <w:szCs w:val="24"/>
          <w:u w:val="single"/>
        </w:rPr>
      </w:pPr>
      <w:r>
        <w:rPr>
          <w:rFonts w:ascii="Times New Roman" w:hAnsi="Times New Roman" w:cs="Times New Roman"/>
          <w:b/>
          <w:sz w:val="24"/>
          <w:szCs w:val="24"/>
          <w:u w:val="single"/>
        </w:rPr>
        <w:t>Question #</w:t>
      </w:r>
      <w:r w:rsidR="00987FFA">
        <w:rPr>
          <w:rFonts w:ascii="Times New Roman" w:hAnsi="Times New Roman" w:cs="Times New Roman"/>
          <w:b/>
          <w:sz w:val="24"/>
          <w:szCs w:val="24"/>
          <w:u w:val="single"/>
        </w:rPr>
        <w:t>8</w:t>
      </w:r>
      <w:r>
        <w:rPr>
          <w:rFonts w:ascii="Times New Roman" w:hAnsi="Times New Roman" w:cs="Times New Roman"/>
          <w:b/>
          <w:sz w:val="24"/>
          <w:szCs w:val="24"/>
          <w:u w:val="single"/>
        </w:rPr>
        <w:t>: What is the role of transit providers in preparing the MTP and TIP?</w:t>
      </w:r>
    </w:p>
    <w:p w:rsidR="000F35E3" w:rsidRPr="000F35E3" w:rsidRDefault="000F35E3" w:rsidP="000F35E3">
      <w:pPr>
        <w:rPr>
          <w:rFonts w:ascii="Times New Roman" w:hAnsi="Times New Roman" w:cs="Times New Roman"/>
          <w:sz w:val="24"/>
          <w:szCs w:val="24"/>
        </w:rPr>
      </w:pPr>
      <w:r w:rsidRPr="000F35E3">
        <w:rPr>
          <w:rFonts w:ascii="Times New Roman" w:hAnsi="Times New Roman" w:cs="Times New Roman"/>
          <w:sz w:val="24"/>
          <w:szCs w:val="24"/>
        </w:rPr>
        <w:t xml:space="preserve">Once the MPO is designated, it must develop its transportation planning process and </w:t>
      </w:r>
      <w:r w:rsidR="00CE64DC">
        <w:rPr>
          <w:rFonts w:ascii="Times New Roman" w:hAnsi="Times New Roman" w:cs="Times New Roman"/>
          <w:sz w:val="24"/>
          <w:szCs w:val="24"/>
        </w:rPr>
        <w:t xml:space="preserve">begin preparation of two key </w:t>
      </w:r>
      <w:r w:rsidRPr="000F35E3">
        <w:rPr>
          <w:rFonts w:ascii="Times New Roman" w:hAnsi="Times New Roman" w:cs="Times New Roman"/>
          <w:sz w:val="24"/>
          <w:szCs w:val="24"/>
        </w:rPr>
        <w:t xml:space="preserve">planning products: the metropolitan transportation plan (MTP) and the transportation improvement program (TIP). </w:t>
      </w:r>
    </w:p>
    <w:p w:rsidR="000F35E3" w:rsidRPr="000F35E3" w:rsidRDefault="000F35E3" w:rsidP="000F35E3">
      <w:pPr>
        <w:pStyle w:val="ListParagraph"/>
        <w:numPr>
          <w:ilvl w:val="0"/>
          <w:numId w:val="78"/>
        </w:numPr>
        <w:rPr>
          <w:rFonts w:ascii="Times New Roman" w:hAnsi="Times New Roman" w:cs="Times New Roman"/>
          <w:sz w:val="24"/>
          <w:szCs w:val="24"/>
        </w:rPr>
      </w:pPr>
      <w:r w:rsidRPr="000F35E3">
        <w:rPr>
          <w:rFonts w:ascii="Times New Roman" w:hAnsi="Times New Roman" w:cs="Times New Roman"/>
          <w:sz w:val="24"/>
          <w:szCs w:val="24"/>
        </w:rPr>
        <w:t>The MTP identif</w:t>
      </w:r>
      <w:r w:rsidR="00CE64DC">
        <w:rPr>
          <w:rFonts w:ascii="Times New Roman" w:hAnsi="Times New Roman" w:cs="Times New Roman"/>
          <w:sz w:val="24"/>
          <w:szCs w:val="24"/>
        </w:rPr>
        <w:t>ies</w:t>
      </w:r>
      <w:r w:rsidRPr="000F35E3">
        <w:rPr>
          <w:rFonts w:ascii="Times New Roman" w:hAnsi="Times New Roman" w:cs="Times New Roman"/>
          <w:sz w:val="24"/>
          <w:szCs w:val="24"/>
        </w:rPr>
        <w:t xml:space="preserve"> the vision, goals, needs and strategies to implement the integrated regional multimodal transportation system (see </w:t>
      </w:r>
      <w:hyperlink r:id="rId22" w:anchor="23:1.0.1.5.11.3.1.12" w:history="1">
        <w:r w:rsidRPr="000F35E3">
          <w:rPr>
            <w:rStyle w:val="Hyperlink"/>
            <w:rFonts w:ascii="Times New Roman" w:hAnsi="Times New Roman" w:cs="Times New Roman"/>
            <w:sz w:val="24"/>
            <w:szCs w:val="24"/>
          </w:rPr>
          <w:t>23 CFR 450.322</w:t>
        </w:r>
      </w:hyperlink>
      <w:r w:rsidRPr="000F35E3">
        <w:rPr>
          <w:rFonts w:ascii="Times New Roman" w:hAnsi="Times New Roman" w:cs="Times New Roman"/>
          <w:sz w:val="24"/>
          <w:szCs w:val="24"/>
        </w:rPr>
        <w:t xml:space="preserve">).  This plan includes a fiscally constrained prioritized listing of strategies and projects covering a 20-year horizon. </w:t>
      </w:r>
    </w:p>
    <w:p w:rsidR="000F35E3" w:rsidRPr="000F35E3" w:rsidRDefault="000F35E3" w:rsidP="000F35E3">
      <w:pPr>
        <w:pStyle w:val="ListParagraph"/>
        <w:numPr>
          <w:ilvl w:val="0"/>
          <w:numId w:val="78"/>
        </w:numPr>
        <w:rPr>
          <w:rFonts w:ascii="Times New Roman" w:hAnsi="Times New Roman" w:cs="Times New Roman"/>
          <w:sz w:val="24"/>
          <w:szCs w:val="24"/>
        </w:rPr>
      </w:pPr>
      <w:r w:rsidRPr="000F35E3">
        <w:rPr>
          <w:rFonts w:ascii="Times New Roman" w:hAnsi="Times New Roman" w:cs="Times New Roman"/>
          <w:sz w:val="24"/>
          <w:szCs w:val="24"/>
        </w:rPr>
        <w:lastRenderedPageBreak/>
        <w:t xml:space="preserve">The TIP is a fiscally constrained </w:t>
      </w:r>
      <w:r w:rsidR="00145D50">
        <w:rPr>
          <w:rFonts w:ascii="Times New Roman" w:hAnsi="Times New Roman" w:cs="Times New Roman"/>
          <w:sz w:val="24"/>
          <w:szCs w:val="24"/>
        </w:rPr>
        <w:t xml:space="preserve">short-range </w:t>
      </w:r>
      <w:r w:rsidRPr="000F35E3">
        <w:rPr>
          <w:rFonts w:ascii="Times New Roman" w:hAnsi="Times New Roman" w:cs="Times New Roman"/>
          <w:sz w:val="24"/>
          <w:szCs w:val="24"/>
        </w:rPr>
        <w:t xml:space="preserve">program listing of transportation projects, covering </w:t>
      </w:r>
      <w:r w:rsidR="00145D50">
        <w:rPr>
          <w:rFonts w:ascii="Times New Roman" w:hAnsi="Times New Roman" w:cs="Times New Roman"/>
          <w:sz w:val="24"/>
          <w:szCs w:val="24"/>
        </w:rPr>
        <w:t xml:space="preserve">the </w:t>
      </w:r>
      <w:r w:rsidRPr="000F35E3">
        <w:rPr>
          <w:rFonts w:ascii="Times New Roman" w:hAnsi="Times New Roman" w:cs="Times New Roman"/>
          <w:sz w:val="24"/>
          <w:szCs w:val="24"/>
        </w:rPr>
        <w:t xml:space="preserve">upcoming 4 years period (see </w:t>
      </w:r>
      <w:hyperlink r:id="rId23" w:anchor="23:1.0.1.5.11.3.1.13" w:history="1">
        <w:r w:rsidRPr="000F35E3">
          <w:rPr>
            <w:rStyle w:val="Hyperlink"/>
            <w:rFonts w:ascii="Times New Roman" w:hAnsi="Times New Roman" w:cs="Times New Roman"/>
            <w:sz w:val="24"/>
            <w:szCs w:val="24"/>
          </w:rPr>
          <w:t>23 CFR 450.324</w:t>
        </w:r>
      </w:hyperlink>
      <w:r w:rsidRPr="000F35E3">
        <w:rPr>
          <w:rFonts w:ascii="Times New Roman" w:hAnsi="Times New Roman" w:cs="Times New Roman"/>
          <w:sz w:val="24"/>
          <w:szCs w:val="24"/>
        </w:rPr>
        <w:t>).</w:t>
      </w:r>
    </w:p>
    <w:p w:rsidR="000F35E3" w:rsidRDefault="000F35E3" w:rsidP="000F35E3">
      <w:pPr>
        <w:rPr>
          <w:rFonts w:ascii="Times New Roman" w:hAnsi="Times New Roman" w:cs="Times New Roman"/>
          <w:sz w:val="24"/>
          <w:szCs w:val="24"/>
        </w:rPr>
      </w:pPr>
      <w:r w:rsidRPr="000F35E3">
        <w:rPr>
          <w:rFonts w:ascii="Times New Roman" w:hAnsi="Times New Roman" w:cs="Times New Roman"/>
          <w:sz w:val="24"/>
          <w:szCs w:val="24"/>
        </w:rPr>
        <w:t xml:space="preserve">All projects receiving FTA or FHWA funds must be included in </w:t>
      </w:r>
      <w:r w:rsidR="00145D50">
        <w:rPr>
          <w:rFonts w:ascii="Times New Roman" w:hAnsi="Times New Roman" w:cs="Times New Roman"/>
          <w:sz w:val="24"/>
          <w:szCs w:val="24"/>
        </w:rPr>
        <w:t xml:space="preserve">TIP, and be consistent with </w:t>
      </w:r>
      <w:r w:rsidRPr="000F35E3">
        <w:rPr>
          <w:rFonts w:ascii="Times New Roman" w:hAnsi="Times New Roman" w:cs="Times New Roman"/>
          <w:sz w:val="24"/>
          <w:szCs w:val="24"/>
        </w:rPr>
        <w:t xml:space="preserve">the MTP.  </w:t>
      </w:r>
      <w:r w:rsidR="00145D50">
        <w:rPr>
          <w:rFonts w:ascii="Times New Roman" w:hAnsi="Times New Roman" w:cs="Times New Roman"/>
          <w:sz w:val="24"/>
          <w:szCs w:val="24"/>
        </w:rPr>
        <w:t>P</w:t>
      </w:r>
      <w:r w:rsidRPr="000F35E3">
        <w:rPr>
          <w:rFonts w:ascii="Times New Roman" w:hAnsi="Times New Roman" w:cs="Times New Roman"/>
          <w:sz w:val="24"/>
          <w:szCs w:val="24"/>
        </w:rPr>
        <w:t>rojects may range from long-range capital projects, transit re-investment to short-range operational and preventive maintenance efforts. Transit providers should share and coordinate their proposed project listing with the MPO and their local agencies during the development of the MTP and TIP.  Transit providers should also participate in the MPO’s technical and/or policy advisory committees in identifying and selecting projects, and allocating project funding.</w:t>
      </w:r>
    </w:p>
    <w:p w:rsidR="00095956" w:rsidRDefault="002B5A9B" w:rsidP="00095956">
      <w:pPr>
        <w:spacing w:after="0"/>
        <w:rPr>
          <w:rFonts w:ascii="Times New Roman" w:hAnsi="Times New Roman" w:cs="Times New Roman"/>
          <w:b/>
          <w:sz w:val="24"/>
          <w:szCs w:val="24"/>
          <w:u w:val="single"/>
        </w:rPr>
      </w:pPr>
      <w:r>
        <w:rPr>
          <w:rFonts w:ascii="Times New Roman" w:hAnsi="Times New Roman" w:cs="Times New Roman"/>
          <w:b/>
          <w:sz w:val="24"/>
          <w:szCs w:val="24"/>
          <w:u w:val="single"/>
        </w:rPr>
        <w:t>Question #</w:t>
      </w:r>
      <w:r w:rsidR="007E5BCE">
        <w:rPr>
          <w:rFonts w:ascii="Times New Roman" w:hAnsi="Times New Roman" w:cs="Times New Roman"/>
          <w:b/>
          <w:sz w:val="24"/>
          <w:szCs w:val="24"/>
          <w:u w:val="single"/>
        </w:rPr>
        <w:t>9</w:t>
      </w:r>
      <w:r>
        <w:rPr>
          <w:rFonts w:ascii="Times New Roman" w:hAnsi="Times New Roman" w:cs="Times New Roman"/>
          <w:b/>
          <w:sz w:val="24"/>
          <w:szCs w:val="24"/>
          <w:u w:val="single"/>
        </w:rPr>
        <w:t xml:space="preserve">: </w:t>
      </w:r>
      <w:r w:rsidR="00095956">
        <w:rPr>
          <w:rFonts w:ascii="Times New Roman" w:hAnsi="Times New Roman" w:cs="Times New Roman"/>
          <w:b/>
          <w:sz w:val="24"/>
          <w:szCs w:val="24"/>
          <w:u w:val="single"/>
        </w:rPr>
        <w:t>What is the role of a transit agency serving an UZA that was designated as a transportation management area (TMA)?</w:t>
      </w:r>
    </w:p>
    <w:p w:rsidR="00095956" w:rsidRDefault="00095956" w:rsidP="00095956">
      <w:pPr>
        <w:spacing w:after="0"/>
        <w:rPr>
          <w:rFonts w:ascii="Times New Roman" w:hAnsi="Times New Roman" w:cs="Times New Roman"/>
          <w:sz w:val="24"/>
          <w:szCs w:val="24"/>
        </w:rPr>
      </w:pPr>
    </w:p>
    <w:p w:rsidR="00095956" w:rsidRDefault="00095956" w:rsidP="00095956">
      <w:pPr>
        <w:rPr>
          <w:rFonts w:ascii="Times New Roman" w:hAnsi="Times New Roman" w:cs="Times New Roman"/>
          <w:sz w:val="24"/>
          <w:szCs w:val="24"/>
        </w:rPr>
      </w:pPr>
      <w:r w:rsidRPr="0025367A">
        <w:rPr>
          <w:rFonts w:ascii="Times New Roman" w:hAnsi="Times New Roman" w:cs="Times New Roman"/>
          <w:sz w:val="24"/>
          <w:szCs w:val="24"/>
        </w:rPr>
        <w:t xml:space="preserve">After </w:t>
      </w:r>
      <w:r>
        <w:rPr>
          <w:rFonts w:ascii="Times New Roman" w:hAnsi="Times New Roman" w:cs="Times New Roman"/>
          <w:sz w:val="24"/>
          <w:szCs w:val="24"/>
        </w:rPr>
        <w:t xml:space="preserve">the </w:t>
      </w:r>
      <w:r w:rsidRPr="0025367A">
        <w:rPr>
          <w:rFonts w:ascii="Times New Roman" w:hAnsi="Times New Roman" w:cs="Times New Roman"/>
          <w:sz w:val="24"/>
          <w:szCs w:val="24"/>
        </w:rPr>
        <w:t>decennial census, FTA</w:t>
      </w:r>
      <w:r>
        <w:rPr>
          <w:rFonts w:ascii="Times New Roman" w:hAnsi="Times New Roman" w:cs="Times New Roman"/>
          <w:sz w:val="24"/>
          <w:szCs w:val="24"/>
        </w:rPr>
        <w:t xml:space="preserve"> and </w:t>
      </w:r>
      <w:r w:rsidRPr="0025367A">
        <w:rPr>
          <w:rFonts w:ascii="Times New Roman" w:hAnsi="Times New Roman" w:cs="Times New Roman"/>
          <w:sz w:val="24"/>
          <w:szCs w:val="24"/>
        </w:rPr>
        <w:t xml:space="preserve">FHWA </w:t>
      </w:r>
      <w:r>
        <w:rPr>
          <w:rFonts w:ascii="Times New Roman" w:hAnsi="Times New Roman" w:cs="Times New Roman"/>
          <w:sz w:val="24"/>
          <w:szCs w:val="24"/>
        </w:rPr>
        <w:t>designate UZAs</w:t>
      </w:r>
      <w:r w:rsidRPr="0025367A">
        <w:rPr>
          <w:rFonts w:ascii="Times New Roman" w:hAnsi="Times New Roman" w:cs="Times New Roman"/>
          <w:sz w:val="24"/>
          <w:szCs w:val="24"/>
        </w:rPr>
        <w:t xml:space="preserve"> with populations </w:t>
      </w:r>
      <w:r>
        <w:rPr>
          <w:rFonts w:ascii="Times New Roman" w:hAnsi="Times New Roman" w:cs="Times New Roman"/>
          <w:sz w:val="24"/>
          <w:szCs w:val="24"/>
        </w:rPr>
        <w:t>over</w:t>
      </w:r>
      <w:r w:rsidRPr="0025367A">
        <w:rPr>
          <w:rFonts w:ascii="Times New Roman" w:hAnsi="Times New Roman" w:cs="Times New Roman"/>
          <w:sz w:val="24"/>
          <w:szCs w:val="24"/>
        </w:rPr>
        <w:t xml:space="preserve"> 200,000 </w:t>
      </w:r>
      <w:r w:rsidR="00B164B6">
        <w:rPr>
          <w:rFonts w:ascii="Times New Roman" w:hAnsi="Times New Roman" w:cs="Times New Roman"/>
          <w:sz w:val="24"/>
          <w:szCs w:val="24"/>
        </w:rPr>
        <w:t>people</w:t>
      </w:r>
      <w:r>
        <w:rPr>
          <w:rFonts w:ascii="Times New Roman" w:hAnsi="Times New Roman" w:cs="Times New Roman"/>
          <w:sz w:val="24"/>
          <w:szCs w:val="24"/>
        </w:rPr>
        <w:t xml:space="preserve"> </w:t>
      </w:r>
      <w:r w:rsidRPr="0025367A">
        <w:rPr>
          <w:rFonts w:ascii="Times New Roman" w:hAnsi="Times New Roman" w:cs="Times New Roman"/>
          <w:sz w:val="24"/>
          <w:szCs w:val="24"/>
        </w:rPr>
        <w:t>as Transportation Management Areas (TMA</w:t>
      </w:r>
      <w:r>
        <w:rPr>
          <w:rFonts w:ascii="Times New Roman" w:hAnsi="Times New Roman" w:cs="Times New Roman"/>
          <w:sz w:val="24"/>
          <w:szCs w:val="24"/>
        </w:rPr>
        <w:t>s</w:t>
      </w:r>
      <w:r w:rsidRPr="0025367A">
        <w:rPr>
          <w:rFonts w:ascii="Times New Roman" w:hAnsi="Times New Roman" w:cs="Times New Roman"/>
          <w:sz w:val="24"/>
          <w:szCs w:val="24"/>
        </w:rPr>
        <w:t xml:space="preserve">) (see </w:t>
      </w:r>
      <w:hyperlink r:id="rId24" w:history="1">
        <w:r w:rsidRPr="0025367A">
          <w:rPr>
            <w:rFonts w:ascii="Times New Roman" w:hAnsi="Times New Roman" w:cs="Times New Roman"/>
            <w:color w:val="0000FF" w:themeColor="hyperlink"/>
            <w:sz w:val="24"/>
            <w:szCs w:val="24"/>
            <w:u w:val="single"/>
          </w:rPr>
          <w:t>49 U.S.C. 5303(k)</w:t>
        </w:r>
      </w:hyperlink>
      <w:r w:rsidRPr="0025367A">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B164B6">
        <w:rPr>
          <w:rFonts w:ascii="Times New Roman" w:hAnsi="Times New Roman" w:cs="Times New Roman"/>
          <w:sz w:val="24"/>
          <w:szCs w:val="24"/>
        </w:rPr>
        <w:t xml:space="preserve">list of </w:t>
      </w:r>
      <w:r w:rsidRPr="00D9410C">
        <w:rPr>
          <w:rFonts w:ascii="Times New Roman" w:hAnsi="Times New Roman" w:cs="Times New Roman"/>
          <w:sz w:val="24"/>
          <w:szCs w:val="24"/>
        </w:rPr>
        <w:t>TMA</w:t>
      </w:r>
      <w:r w:rsidR="00B164B6">
        <w:rPr>
          <w:rFonts w:ascii="Times New Roman" w:hAnsi="Times New Roman" w:cs="Times New Roman"/>
          <w:sz w:val="24"/>
          <w:szCs w:val="24"/>
        </w:rPr>
        <w:t>s</w:t>
      </w:r>
      <w:r>
        <w:rPr>
          <w:rFonts w:ascii="Times New Roman" w:hAnsi="Times New Roman" w:cs="Times New Roman"/>
          <w:sz w:val="24"/>
          <w:szCs w:val="24"/>
        </w:rPr>
        <w:t xml:space="preserve"> based on the 2010 Census </w:t>
      </w:r>
      <w:r w:rsidRPr="00D9410C">
        <w:rPr>
          <w:rFonts w:ascii="Times New Roman" w:hAnsi="Times New Roman" w:cs="Times New Roman"/>
          <w:sz w:val="24"/>
          <w:szCs w:val="24"/>
        </w:rPr>
        <w:t>was published in the</w:t>
      </w:r>
      <w:r>
        <w:rPr>
          <w:rFonts w:ascii="Times New Roman" w:hAnsi="Times New Roman" w:cs="Times New Roman"/>
          <w:sz w:val="24"/>
          <w:szCs w:val="24"/>
        </w:rPr>
        <w:t xml:space="preserve"> </w:t>
      </w:r>
      <w:r w:rsidRPr="00D9410C">
        <w:rPr>
          <w:rFonts w:ascii="Times New Roman" w:hAnsi="Times New Roman" w:cs="Times New Roman"/>
          <w:sz w:val="24"/>
          <w:szCs w:val="24"/>
        </w:rPr>
        <w:t xml:space="preserve">July </w:t>
      </w:r>
      <w:r>
        <w:rPr>
          <w:rFonts w:ascii="Times New Roman" w:hAnsi="Times New Roman" w:cs="Times New Roman"/>
          <w:sz w:val="24"/>
          <w:szCs w:val="24"/>
        </w:rPr>
        <w:t>1</w:t>
      </w:r>
      <w:r w:rsidRPr="00D9410C">
        <w:rPr>
          <w:rFonts w:ascii="Times New Roman" w:hAnsi="Times New Roman" w:cs="Times New Roman"/>
          <w:sz w:val="24"/>
          <w:szCs w:val="24"/>
        </w:rPr>
        <w:t>8, 2012</w:t>
      </w:r>
      <w:r>
        <w:rPr>
          <w:rFonts w:ascii="Times New Roman" w:hAnsi="Times New Roman" w:cs="Times New Roman"/>
          <w:sz w:val="24"/>
          <w:szCs w:val="24"/>
        </w:rPr>
        <w:t xml:space="preserve"> </w:t>
      </w:r>
      <w:hyperlink r:id="rId25" w:history="1">
        <w:r w:rsidRPr="00D9410C">
          <w:rPr>
            <w:rFonts w:ascii="Times New Roman" w:hAnsi="Times New Roman" w:cs="Times New Roman"/>
            <w:color w:val="0000FF" w:themeColor="hyperlink"/>
            <w:sz w:val="24"/>
            <w:szCs w:val="24"/>
            <w:u w:val="single"/>
          </w:rPr>
          <w:t>Federal Register</w:t>
        </w:r>
      </w:hyperlink>
      <w:r>
        <w:rPr>
          <w:rFonts w:ascii="Times New Roman" w:hAnsi="Times New Roman" w:cs="Times New Roman"/>
          <w:color w:val="0000FF" w:themeColor="hyperlink"/>
          <w:sz w:val="24"/>
          <w:szCs w:val="24"/>
          <w:u w:val="single"/>
        </w:rPr>
        <w:t>.</w:t>
      </w:r>
      <w:r>
        <w:rPr>
          <w:rFonts w:ascii="Times New Roman" w:hAnsi="Times New Roman" w:cs="Times New Roman"/>
          <w:sz w:val="24"/>
          <w:szCs w:val="24"/>
        </w:rPr>
        <w:t xml:space="preserve"> Transit </w:t>
      </w:r>
      <w:r w:rsidR="00B164B6">
        <w:rPr>
          <w:rFonts w:ascii="Times New Roman" w:hAnsi="Times New Roman" w:cs="Times New Roman"/>
          <w:sz w:val="24"/>
          <w:szCs w:val="24"/>
        </w:rPr>
        <w:t xml:space="preserve">providers </w:t>
      </w:r>
      <w:r>
        <w:rPr>
          <w:rFonts w:ascii="Times New Roman" w:hAnsi="Times New Roman" w:cs="Times New Roman"/>
          <w:sz w:val="24"/>
          <w:szCs w:val="24"/>
        </w:rPr>
        <w:t xml:space="preserve">serving </w:t>
      </w:r>
      <w:r w:rsidR="00B164B6">
        <w:rPr>
          <w:rFonts w:ascii="Times New Roman" w:hAnsi="Times New Roman" w:cs="Times New Roman"/>
          <w:sz w:val="24"/>
          <w:szCs w:val="24"/>
        </w:rPr>
        <w:t xml:space="preserve">communities in </w:t>
      </w:r>
      <w:r>
        <w:rPr>
          <w:rFonts w:ascii="Times New Roman" w:hAnsi="Times New Roman" w:cs="Times New Roman"/>
          <w:sz w:val="24"/>
          <w:szCs w:val="24"/>
        </w:rPr>
        <w:t>TMAs are affected in the following 3 ways:</w:t>
      </w:r>
    </w:p>
    <w:p w:rsidR="00095956" w:rsidRPr="00A67128" w:rsidRDefault="00095956" w:rsidP="00095956">
      <w:pPr>
        <w:pStyle w:val="ListParagraph"/>
        <w:numPr>
          <w:ilvl w:val="0"/>
          <w:numId w:val="76"/>
        </w:numPr>
        <w:spacing w:after="0"/>
        <w:rPr>
          <w:rFonts w:ascii="Times New Roman" w:hAnsi="Times New Roman" w:cs="Times New Roman"/>
          <w:sz w:val="24"/>
          <w:szCs w:val="24"/>
        </w:rPr>
      </w:pPr>
      <w:r>
        <w:rPr>
          <w:rFonts w:ascii="Times New Roman" w:hAnsi="Times New Roman" w:cs="Times New Roman"/>
          <w:sz w:val="24"/>
          <w:szCs w:val="24"/>
          <w:u w:val="single"/>
        </w:rPr>
        <w:t xml:space="preserve">TMA’s </w:t>
      </w:r>
      <w:r w:rsidRPr="00A67128">
        <w:rPr>
          <w:rFonts w:ascii="Times New Roman" w:hAnsi="Times New Roman" w:cs="Times New Roman"/>
          <w:sz w:val="24"/>
          <w:szCs w:val="24"/>
          <w:u w:val="single"/>
        </w:rPr>
        <w:t xml:space="preserve">Authority to </w:t>
      </w:r>
      <w:r>
        <w:rPr>
          <w:rFonts w:ascii="Times New Roman" w:hAnsi="Times New Roman" w:cs="Times New Roman"/>
          <w:sz w:val="24"/>
          <w:szCs w:val="24"/>
          <w:u w:val="single"/>
        </w:rPr>
        <w:t>S</w:t>
      </w:r>
      <w:r w:rsidRPr="00A67128">
        <w:rPr>
          <w:rFonts w:ascii="Times New Roman" w:hAnsi="Times New Roman" w:cs="Times New Roman"/>
          <w:sz w:val="24"/>
          <w:szCs w:val="24"/>
          <w:u w:val="single"/>
        </w:rPr>
        <w:t xml:space="preserve">et </w:t>
      </w:r>
      <w:r>
        <w:rPr>
          <w:rFonts w:ascii="Times New Roman" w:hAnsi="Times New Roman" w:cs="Times New Roman"/>
          <w:sz w:val="24"/>
          <w:szCs w:val="24"/>
          <w:u w:val="single"/>
        </w:rPr>
        <w:t>I</w:t>
      </w:r>
      <w:r w:rsidRPr="00A67128">
        <w:rPr>
          <w:rFonts w:ascii="Times New Roman" w:hAnsi="Times New Roman" w:cs="Times New Roman"/>
          <w:sz w:val="24"/>
          <w:szCs w:val="24"/>
          <w:u w:val="single"/>
        </w:rPr>
        <w:t xml:space="preserve">mplementation </w:t>
      </w:r>
      <w:r>
        <w:rPr>
          <w:rFonts w:ascii="Times New Roman" w:hAnsi="Times New Roman" w:cs="Times New Roman"/>
          <w:sz w:val="24"/>
          <w:szCs w:val="24"/>
          <w:u w:val="single"/>
        </w:rPr>
        <w:t>P</w:t>
      </w:r>
      <w:r w:rsidRPr="00A67128">
        <w:rPr>
          <w:rFonts w:ascii="Times New Roman" w:hAnsi="Times New Roman" w:cs="Times New Roman"/>
          <w:sz w:val="24"/>
          <w:szCs w:val="24"/>
          <w:u w:val="single"/>
        </w:rPr>
        <w:t>riorities in the TIP</w:t>
      </w:r>
      <w:r>
        <w:rPr>
          <w:rFonts w:ascii="Times New Roman" w:hAnsi="Times New Roman" w:cs="Times New Roman"/>
          <w:sz w:val="24"/>
          <w:szCs w:val="24"/>
        </w:rPr>
        <w:t xml:space="preserve"> – MPO</w:t>
      </w:r>
      <w:r w:rsidR="00FA1533">
        <w:rPr>
          <w:rFonts w:ascii="Times New Roman" w:hAnsi="Times New Roman" w:cs="Times New Roman"/>
          <w:sz w:val="24"/>
          <w:szCs w:val="24"/>
        </w:rPr>
        <w:t>s</w:t>
      </w:r>
      <w:r>
        <w:rPr>
          <w:rFonts w:ascii="Times New Roman" w:hAnsi="Times New Roman" w:cs="Times New Roman"/>
          <w:sz w:val="24"/>
          <w:szCs w:val="24"/>
        </w:rPr>
        <w:t xml:space="preserve"> serving TMA</w:t>
      </w:r>
      <w:r w:rsidR="00FA1533">
        <w:rPr>
          <w:rFonts w:ascii="Times New Roman" w:hAnsi="Times New Roman" w:cs="Times New Roman"/>
          <w:sz w:val="24"/>
          <w:szCs w:val="24"/>
        </w:rPr>
        <w:t>s</w:t>
      </w:r>
      <w:r>
        <w:rPr>
          <w:rFonts w:ascii="Times New Roman" w:hAnsi="Times New Roman" w:cs="Times New Roman"/>
          <w:sz w:val="24"/>
          <w:szCs w:val="24"/>
        </w:rPr>
        <w:t xml:space="preserve"> </w:t>
      </w:r>
      <w:r w:rsidRPr="00C25F2C">
        <w:rPr>
          <w:rFonts w:ascii="Times New Roman" w:hAnsi="Times New Roman" w:cs="Times New Roman"/>
          <w:sz w:val="24"/>
          <w:szCs w:val="24"/>
        </w:rPr>
        <w:t xml:space="preserve">select </w:t>
      </w:r>
      <w:r>
        <w:rPr>
          <w:rFonts w:ascii="Times New Roman" w:hAnsi="Times New Roman" w:cs="Times New Roman"/>
          <w:sz w:val="24"/>
          <w:szCs w:val="24"/>
        </w:rPr>
        <w:t xml:space="preserve">TIP </w:t>
      </w:r>
      <w:r w:rsidRPr="00C25F2C">
        <w:rPr>
          <w:rFonts w:ascii="Times New Roman" w:hAnsi="Times New Roman" w:cs="Times New Roman"/>
          <w:sz w:val="24"/>
          <w:szCs w:val="24"/>
        </w:rPr>
        <w:t xml:space="preserve">projects </w:t>
      </w:r>
      <w:r>
        <w:rPr>
          <w:rFonts w:ascii="Times New Roman" w:hAnsi="Times New Roman" w:cs="Times New Roman"/>
          <w:sz w:val="24"/>
          <w:szCs w:val="24"/>
        </w:rPr>
        <w:t xml:space="preserve">for implementation (see </w:t>
      </w:r>
      <w:hyperlink r:id="rId26" w:anchor="23:1.0.1.5.11.3.1.16" w:history="1">
        <w:r w:rsidRPr="00C25F2C">
          <w:rPr>
            <w:rStyle w:val="Hyperlink"/>
            <w:rFonts w:ascii="Times New Roman" w:hAnsi="Times New Roman" w:cs="Times New Roman"/>
            <w:sz w:val="24"/>
            <w:szCs w:val="24"/>
          </w:rPr>
          <w:t>23 CFR 450.330</w:t>
        </w:r>
      </w:hyperlink>
      <w:r>
        <w:rPr>
          <w:rFonts w:ascii="Times New Roman" w:hAnsi="Times New Roman" w:cs="Times New Roman"/>
          <w:sz w:val="24"/>
          <w:szCs w:val="24"/>
        </w:rPr>
        <w:t>), and t</w:t>
      </w:r>
      <w:r w:rsidRPr="00A67128">
        <w:rPr>
          <w:rFonts w:ascii="Times New Roman" w:hAnsi="Times New Roman" w:cs="Times New Roman"/>
          <w:sz w:val="24"/>
          <w:szCs w:val="24"/>
        </w:rPr>
        <w:t xml:space="preserve">ransit </w:t>
      </w:r>
      <w:r>
        <w:rPr>
          <w:rFonts w:ascii="Times New Roman" w:hAnsi="Times New Roman" w:cs="Times New Roman"/>
          <w:sz w:val="24"/>
          <w:szCs w:val="24"/>
        </w:rPr>
        <w:t>provider</w:t>
      </w:r>
      <w:r w:rsidRPr="00A67128">
        <w:rPr>
          <w:rFonts w:ascii="Times New Roman" w:hAnsi="Times New Roman" w:cs="Times New Roman"/>
          <w:sz w:val="24"/>
          <w:szCs w:val="24"/>
        </w:rPr>
        <w:t xml:space="preserve">s </w:t>
      </w:r>
      <w:r>
        <w:rPr>
          <w:rFonts w:ascii="Times New Roman" w:hAnsi="Times New Roman" w:cs="Times New Roman"/>
          <w:sz w:val="24"/>
          <w:szCs w:val="24"/>
        </w:rPr>
        <w:t>should</w:t>
      </w:r>
      <w:r w:rsidRPr="00A67128">
        <w:rPr>
          <w:rFonts w:ascii="Times New Roman" w:hAnsi="Times New Roman" w:cs="Times New Roman"/>
          <w:sz w:val="24"/>
          <w:szCs w:val="24"/>
        </w:rPr>
        <w:t xml:space="preserve"> work </w:t>
      </w:r>
      <w:r>
        <w:rPr>
          <w:rFonts w:ascii="Times New Roman" w:hAnsi="Times New Roman" w:cs="Times New Roman"/>
          <w:sz w:val="24"/>
          <w:szCs w:val="24"/>
        </w:rPr>
        <w:t>with</w:t>
      </w:r>
      <w:r w:rsidRPr="00A67128">
        <w:rPr>
          <w:rFonts w:ascii="Times New Roman" w:hAnsi="Times New Roman" w:cs="Times New Roman"/>
          <w:sz w:val="24"/>
          <w:szCs w:val="24"/>
        </w:rPr>
        <w:t xml:space="preserve"> </w:t>
      </w:r>
      <w:r w:rsidR="00FA1533">
        <w:rPr>
          <w:rFonts w:ascii="Times New Roman" w:hAnsi="Times New Roman" w:cs="Times New Roman"/>
          <w:sz w:val="24"/>
          <w:szCs w:val="24"/>
        </w:rPr>
        <w:t>t</w:t>
      </w:r>
      <w:r w:rsidRPr="00A67128">
        <w:rPr>
          <w:rFonts w:ascii="Times New Roman" w:hAnsi="Times New Roman" w:cs="Times New Roman"/>
          <w:sz w:val="24"/>
          <w:szCs w:val="24"/>
        </w:rPr>
        <w:t>he MPO</w:t>
      </w:r>
      <w:r w:rsidR="00FA1533">
        <w:rPr>
          <w:rFonts w:ascii="Times New Roman" w:hAnsi="Times New Roman" w:cs="Times New Roman"/>
          <w:sz w:val="24"/>
          <w:szCs w:val="24"/>
        </w:rPr>
        <w:t>s in TMAs</w:t>
      </w:r>
      <w:r w:rsidRPr="00A67128">
        <w:rPr>
          <w:rFonts w:ascii="Times New Roman" w:hAnsi="Times New Roman" w:cs="Times New Roman"/>
          <w:sz w:val="24"/>
          <w:szCs w:val="24"/>
        </w:rPr>
        <w:t xml:space="preserve"> </w:t>
      </w:r>
      <w:r>
        <w:rPr>
          <w:rFonts w:ascii="Times New Roman" w:hAnsi="Times New Roman" w:cs="Times New Roman"/>
          <w:sz w:val="24"/>
          <w:szCs w:val="24"/>
        </w:rPr>
        <w:t>to identify TIP</w:t>
      </w:r>
      <w:r w:rsidRPr="00A67128">
        <w:rPr>
          <w:rFonts w:ascii="Times New Roman" w:hAnsi="Times New Roman" w:cs="Times New Roman"/>
          <w:sz w:val="24"/>
          <w:szCs w:val="24"/>
        </w:rPr>
        <w:t xml:space="preserve"> project</w:t>
      </w:r>
      <w:r w:rsidR="00FA1533">
        <w:rPr>
          <w:rFonts w:ascii="Times New Roman" w:hAnsi="Times New Roman" w:cs="Times New Roman"/>
          <w:sz w:val="24"/>
          <w:szCs w:val="24"/>
        </w:rPr>
        <w:t xml:space="preserve"> selection</w:t>
      </w:r>
      <w:r w:rsidRPr="00A67128">
        <w:rPr>
          <w:rFonts w:ascii="Times New Roman" w:hAnsi="Times New Roman" w:cs="Times New Roman"/>
          <w:sz w:val="24"/>
          <w:szCs w:val="24"/>
        </w:rPr>
        <w:t>s – across modes</w:t>
      </w:r>
      <w:r>
        <w:rPr>
          <w:rFonts w:ascii="Times New Roman" w:hAnsi="Times New Roman" w:cs="Times New Roman"/>
          <w:sz w:val="24"/>
          <w:szCs w:val="24"/>
        </w:rPr>
        <w:t xml:space="preserve"> </w:t>
      </w:r>
      <w:r w:rsidRPr="00A67128">
        <w:rPr>
          <w:rFonts w:ascii="Times New Roman" w:hAnsi="Times New Roman" w:cs="Times New Roman"/>
          <w:sz w:val="24"/>
          <w:szCs w:val="24"/>
        </w:rPr>
        <w:t xml:space="preserve">– that </w:t>
      </w:r>
      <w:r>
        <w:rPr>
          <w:rFonts w:ascii="Times New Roman" w:hAnsi="Times New Roman" w:cs="Times New Roman"/>
          <w:sz w:val="24"/>
          <w:szCs w:val="24"/>
        </w:rPr>
        <w:t xml:space="preserve">may best aligned with </w:t>
      </w:r>
      <w:r w:rsidRPr="00A67128">
        <w:rPr>
          <w:rFonts w:ascii="Times New Roman" w:hAnsi="Times New Roman" w:cs="Times New Roman"/>
          <w:sz w:val="24"/>
          <w:szCs w:val="24"/>
        </w:rPr>
        <w:t>the</w:t>
      </w:r>
      <w:r>
        <w:rPr>
          <w:rFonts w:ascii="Times New Roman" w:hAnsi="Times New Roman" w:cs="Times New Roman"/>
          <w:sz w:val="24"/>
          <w:szCs w:val="24"/>
        </w:rPr>
        <w:t xml:space="preserve"> transit’s</w:t>
      </w:r>
      <w:r w:rsidRPr="00A67128">
        <w:rPr>
          <w:rFonts w:ascii="Times New Roman" w:hAnsi="Times New Roman" w:cs="Times New Roman"/>
          <w:sz w:val="24"/>
          <w:szCs w:val="24"/>
        </w:rPr>
        <w:t xml:space="preserve"> operational needs.</w:t>
      </w:r>
    </w:p>
    <w:p w:rsidR="00095956" w:rsidRPr="00117BDA" w:rsidRDefault="00095956" w:rsidP="00095956">
      <w:pPr>
        <w:pStyle w:val="ListParagraph"/>
        <w:numPr>
          <w:ilvl w:val="0"/>
          <w:numId w:val="76"/>
        </w:numPr>
        <w:spacing w:after="0"/>
        <w:rPr>
          <w:rFonts w:ascii="Times New Roman" w:hAnsi="Times New Roman" w:cs="Times New Roman"/>
          <w:sz w:val="24"/>
          <w:szCs w:val="24"/>
        </w:rPr>
      </w:pPr>
      <w:r w:rsidRPr="007F0DA9">
        <w:rPr>
          <w:rFonts w:ascii="Times New Roman" w:hAnsi="Times New Roman" w:cs="Times New Roman"/>
          <w:sz w:val="24"/>
          <w:szCs w:val="24"/>
          <w:u w:val="single"/>
        </w:rPr>
        <w:t>Congestion Management Process (CMP)</w:t>
      </w:r>
      <w:r w:rsidRPr="00B85F0D">
        <w:rPr>
          <w:rFonts w:ascii="Times New Roman" w:hAnsi="Times New Roman" w:cs="Times New Roman"/>
          <w:sz w:val="24"/>
          <w:szCs w:val="24"/>
        </w:rPr>
        <w:t xml:space="preserve"> - </w:t>
      </w:r>
      <w:r>
        <w:rPr>
          <w:rFonts w:ascii="Times New Roman" w:hAnsi="Times New Roman" w:cs="Times New Roman"/>
          <w:sz w:val="24"/>
          <w:szCs w:val="24"/>
        </w:rPr>
        <w:t xml:space="preserve">A </w:t>
      </w:r>
      <w:r w:rsidRPr="00A02D4F">
        <w:rPr>
          <w:rFonts w:ascii="Times New Roman" w:hAnsi="Times New Roman" w:cs="Times New Roman"/>
          <w:sz w:val="24"/>
          <w:szCs w:val="24"/>
        </w:rPr>
        <w:t>Congestion Management Process (CMP)</w:t>
      </w:r>
      <w:r>
        <w:rPr>
          <w:rFonts w:ascii="Times New Roman" w:hAnsi="Times New Roman" w:cs="Times New Roman"/>
          <w:sz w:val="24"/>
          <w:szCs w:val="24"/>
        </w:rPr>
        <w:t xml:space="preserve"> identifies travel demand reduction and operational management strategies to effectively manage new and existing transportation facilities. </w:t>
      </w:r>
      <w:r w:rsidR="00FA1533">
        <w:rPr>
          <w:rFonts w:ascii="Times New Roman" w:hAnsi="Times New Roman" w:cs="Times New Roman"/>
          <w:sz w:val="24"/>
          <w:szCs w:val="24"/>
        </w:rPr>
        <w:t>MPOs in n</w:t>
      </w:r>
      <w:r w:rsidRPr="00B85F0D">
        <w:rPr>
          <w:rFonts w:ascii="Times New Roman" w:hAnsi="Times New Roman" w:cs="Times New Roman"/>
          <w:sz w:val="24"/>
          <w:szCs w:val="24"/>
        </w:rPr>
        <w:t>ew TMAs must implement a CMP by January 18, 2014</w:t>
      </w:r>
      <w:r>
        <w:rPr>
          <w:rFonts w:ascii="Times New Roman" w:hAnsi="Times New Roman" w:cs="Times New Roman"/>
          <w:sz w:val="24"/>
          <w:szCs w:val="24"/>
        </w:rPr>
        <w:t>. T</w:t>
      </w:r>
      <w:r w:rsidRPr="00B85F0D">
        <w:rPr>
          <w:rFonts w:ascii="Times New Roman" w:hAnsi="Times New Roman" w:cs="Times New Roman"/>
          <w:sz w:val="24"/>
          <w:szCs w:val="24"/>
        </w:rPr>
        <w:t xml:space="preserve">ransit </w:t>
      </w:r>
      <w:r>
        <w:rPr>
          <w:rFonts w:ascii="Times New Roman" w:hAnsi="Times New Roman" w:cs="Times New Roman"/>
          <w:sz w:val="24"/>
          <w:szCs w:val="24"/>
        </w:rPr>
        <w:t>providers should cooperate with th</w:t>
      </w:r>
      <w:r w:rsidR="00FA1533">
        <w:rPr>
          <w:rFonts w:ascii="Times New Roman" w:hAnsi="Times New Roman" w:cs="Times New Roman"/>
          <w:sz w:val="24"/>
          <w:szCs w:val="24"/>
        </w:rPr>
        <w:t>os</w:t>
      </w:r>
      <w:r>
        <w:rPr>
          <w:rFonts w:ascii="Times New Roman" w:hAnsi="Times New Roman" w:cs="Times New Roman"/>
          <w:sz w:val="24"/>
          <w:szCs w:val="24"/>
        </w:rPr>
        <w:t>e MPO</w:t>
      </w:r>
      <w:r w:rsidR="00FA1533">
        <w:rPr>
          <w:rFonts w:ascii="Times New Roman" w:hAnsi="Times New Roman" w:cs="Times New Roman"/>
          <w:sz w:val="24"/>
          <w:szCs w:val="24"/>
        </w:rPr>
        <w:t>s</w:t>
      </w:r>
      <w:r>
        <w:rPr>
          <w:rFonts w:ascii="Times New Roman" w:hAnsi="Times New Roman" w:cs="Times New Roman"/>
          <w:sz w:val="24"/>
          <w:szCs w:val="24"/>
        </w:rPr>
        <w:t xml:space="preserve"> </w:t>
      </w:r>
      <w:r w:rsidR="00FA1533">
        <w:rPr>
          <w:rFonts w:ascii="Times New Roman" w:hAnsi="Times New Roman" w:cs="Times New Roman"/>
          <w:sz w:val="24"/>
          <w:szCs w:val="24"/>
        </w:rPr>
        <w:t xml:space="preserve">to </w:t>
      </w:r>
      <w:r>
        <w:rPr>
          <w:rFonts w:ascii="Times New Roman" w:hAnsi="Times New Roman" w:cs="Times New Roman"/>
          <w:sz w:val="24"/>
          <w:szCs w:val="24"/>
        </w:rPr>
        <w:t xml:space="preserve">identify </w:t>
      </w:r>
      <w:r w:rsidRPr="00B85F0D">
        <w:rPr>
          <w:rFonts w:ascii="Times New Roman" w:hAnsi="Times New Roman" w:cs="Times New Roman"/>
          <w:sz w:val="24"/>
          <w:szCs w:val="24"/>
        </w:rPr>
        <w:t>congestion</w:t>
      </w:r>
      <w:r>
        <w:rPr>
          <w:rFonts w:ascii="Times New Roman" w:hAnsi="Times New Roman" w:cs="Times New Roman"/>
          <w:sz w:val="24"/>
          <w:szCs w:val="24"/>
        </w:rPr>
        <w:t xml:space="preserve"> management</w:t>
      </w:r>
      <w:r w:rsidRPr="00B85F0D">
        <w:rPr>
          <w:rFonts w:ascii="Times New Roman" w:hAnsi="Times New Roman" w:cs="Times New Roman"/>
          <w:sz w:val="24"/>
          <w:szCs w:val="24"/>
        </w:rPr>
        <w:t xml:space="preserve"> s</w:t>
      </w:r>
      <w:r>
        <w:rPr>
          <w:rFonts w:ascii="Times New Roman" w:hAnsi="Times New Roman" w:cs="Times New Roman"/>
          <w:sz w:val="24"/>
          <w:szCs w:val="24"/>
        </w:rPr>
        <w:t>trategies</w:t>
      </w:r>
      <w:r w:rsidRPr="00B85F0D">
        <w:rPr>
          <w:rFonts w:ascii="Times New Roman" w:hAnsi="Times New Roman" w:cs="Times New Roman"/>
          <w:sz w:val="24"/>
          <w:szCs w:val="24"/>
        </w:rPr>
        <w:t xml:space="preserve"> that </w:t>
      </w:r>
      <w:r w:rsidR="00FA1533">
        <w:rPr>
          <w:rFonts w:ascii="Times New Roman" w:hAnsi="Times New Roman" w:cs="Times New Roman"/>
          <w:sz w:val="24"/>
          <w:szCs w:val="24"/>
        </w:rPr>
        <w:t xml:space="preserve">support </w:t>
      </w:r>
      <w:r w:rsidRPr="00B85F0D">
        <w:rPr>
          <w:rFonts w:ascii="Times New Roman" w:hAnsi="Times New Roman" w:cs="Times New Roman"/>
          <w:sz w:val="24"/>
          <w:szCs w:val="24"/>
        </w:rPr>
        <w:t>transit and transit improvements</w:t>
      </w:r>
      <w:r>
        <w:rPr>
          <w:rFonts w:ascii="Times New Roman" w:hAnsi="Times New Roman" w:cs="Times New Roman"/>
          <w:sz w:val="24"/>
          <w:szCs w:val="24"/>
        </w:rPr>
        <w:t>.</w:t>
      </w:r>
      <w:r w:rsidRPr="00B85F0D">
        <w:rPr>
          <w:rFonts w:ascii="Times New Roman" w:hAnsi="Times New Roman" w:cs="Times New Roman"/>
          <w:sz w:val="24"/>
          <w:szCs w:val="24"/>
        </w:rPr>
        <w:t xml:space="preserve"> Because the CMP serves as </w:t>
      </w:r>
      <w:r>
        <w:rPr>
          <w:rFonts w:ascii="Times New Roman" w:hAnsi="Times New Roman" w:cs="Times New Roman"/>
          <w:sz w:val="24"/>
          <w:szCs w:val="24"/>
        </w:rPr>
        <w:t>a key input</w:t>
      </w:r>
      <w:r w:rsidRPr="00B85F0D">
        <w:rPr>
          <w:rFonts w:ascii="Times New Roman" w:hAnsi="Times New Roman" w:cs="Times New Roman"/>
          <w:sz w:val="24"/>
          <w:szCs w:val="24"/>
        </w:rPr>
        <w:t xml:space="preserve"> in</w:t>
      </w:r>
      <w:r>
        <w:rPr>
          <w:rFonts w:ascii="Times New Roman" w:hAnsi="Times New Roman" w:cs="Times New Roman"/>
          <w:sz w:val="24"/>
          <w:szCs w:val="24"/>
        </w:rPr>
        <w:t>to</w:t>
      </w:r>
      <w:r w:rsidRPr="00B85F0D">
        <w:rPr>
          <w:rFonts w:ascii="Times New Roman" w:hAnsi="Times New Roman" w:cs="Times New Roman"/>
          <w:sz w:val="24"/>
          <w:szCs w:val="24"/>
        </w:rPr>
        <w:t xml:space="preserve"> the MTP and TIP, transit pro</w:t>
      </w:r>
      <w:r>
        <w:rPr>
          <w:rFonts w:ascii="Times New Roman" w:hAnsi="Times New Roman" w:cs="Times New Roman"/>
          <w:sz w:val="24"/>
          <w:szCs w:val="24"/>
        </w:rPr>
        <w:t xml:space="preserve">jects that come from the CMP have a </w:t>
      </w:r>
      <w:r w:rsidRPr="00B85F0D">
        <w:rPr>
          <w:rFonts w:ascii="Times New Roman" w:hAnsi="Times New Roman" w:cs="Times New Roman"/>
          <w:sz w:val="24"/>
          <w:szCs w:val="24"/>
        </w:rPr>
        <w:t>higher priority for adv</w:t>
      </w:r>
      <w:r w:rsidRPr="00117BDA">
        <w:rPr>
          <w:rFonts w:ascii="Times New Roman" w:hAnsi="Times New Roman" w:cs="Times New Roman"/>
          <w:sz w:val="24"/>
          <w:szCs w:val="24"/>
        </w:rPr>
        <w:t>ancement</w:t>
      </w:r>
      <w:r>
        <w:rPr>
          <w:rFonts w:ascii="Times New Roman" w:hAnsi="Times New Roman" w:cs="Times New Roman"/>
          <w:sz w:val="24"/>
          <w:szCs w:val="24"/>
        </w:rPr>
        <w:t xml:space="preserve"> and </w:t>
      </w:r>
      <w:r w:rsidR="00FA1533">
        <w:rPr>
          <w:rFonts w:ascii="Times New Roman" w:hAnsi="Times New Roman" w:cs="Times New Roman"/>
          <w:sz w:val="24"/>
          <w:szCs w:val="24"/>
        </w:rPr>
        <w:t xml:space="preserve">ultimate </w:t>
      </w:r>
      <w:r>
        <w:rPr>
          <w:rFonts w:ascii="Times New Roman" w:hAnsi="Times New Roman" w:cs="Times New Roman"/>
          <w:sz w:val="24"/>
          <w:szCs w:val="24"/>
        </w:rPr>
        <w:t xml:space="preserve">implementation (see </w:t>
      </w:r>
      <w:hyperlink r:id="rId27" w:anchor="23:1.0.1.5.11.3.1.11" w:history="1">
        <w:r w:rsidRPr="00497929">
          <w:rPr>
            <w:rStyle w:val="Hyperlink"/>
            <w:rFonts w:ascii="Times New Roman" w:hAnsi="Times New Roman" w:cs="Times New Roman"/>
            <w:sz w:val="24"/>
            <w:szCs w:val="24"/>
          </w:rPr>
          <w:t>23 CFR 450.320</w:t>
        </w:r>
      </w:hyperlink>
      <w:r>
        <w:rPr>
          <w:rFonts w:ascii="Times New Roman" w:hAnsi="Times New Roman" w:cs="Times New Roman"/>
          <w:sz w:val="24"/>
          <w:szCs w:val="24"/>
        </w:rPr>
        <w:t>)</w:t>
      </w:r>
      <w:r w:rsidRPr="00117BDA">
        <w:rPr>
          <w:rFonts w:ascii="Times New Roman" w:hAnsi="Times New Roman" w:cs="Times New Roman"/>
          <w:sz w:val="24"/>
          <w:szCs w:val="24"/>
        </w:rPr>
        <w:t>.</w:t>
      </w:r>
    </w:p>
    <w:p w:rsidR="00095956" w:rsidRPr="00117BDA" w:rsidRDefault="00095956" w:rsidP="00095956">
      <w:pPr>
        <w:pStyle w:val="ListParagraph"/>
        <w:numPr>
          <w:ilvl w:val="0"/>
          <w:numId w:val="76"/>
        </w:numPr>
        <w:spacing w:after="0"/>
        <w:rPr>
          <w:rFonts w:ascii="Times New Roman" w:hAnsi="Times New Roman" w:cs="Times New Roman"/>
          <w:b/>
          <w:sz w:val="24"/>
          <w:szCs w:val="24"/>
          <w:u w:val="single"/>
        </w:rPr>
      </w:pPr>
      <w:r w:rsidRPr="00117BDA">
        <w:rPr>
          <w:rFonts w:ascii="Times New Roman" w:hAnsi="Times New Roman" w:cs="Times New Roman"/>
          <w:sz w:val="24"/>
          <w:szCs w:val="24"/>
          <w:u w:val="single"/>
        </w:rPr>
        <w:t>Transit Representation on the MPO Policy Boards</w:t>
      </w:r>
      <w:r w:rsidRPr="00117BDA">
        <w:rPr>
          <w:rFonts w:ascii="Times New Roman" w:hAnsi="Times New Roman" w:cs="Times New Roman"/>
          <w:sz w:val="24"/>
          <w:szCs w:val="24"/>
        </w:rPr>
        <w:t xml:space="preserve"> –MAP-21 requires that </w:t>
      </w:r>
      <w:r>
        <w:rPr>
          <w:rFonts w:ascii="Times New Roman" w:hAnsi="Times New Roman" w:cs="Times New Roman"/>
          <w:sz w:val="24"/>
          <w:szCs w:val="24"/>
        </w:rPr>
        <w:t>MPOs serving TMA</w:t>
      </w:r>
      <w:r w:rsidRPr="00117BDA">
        <w:rPr>
          <w:rFonts w:ascii="Times New Roman" w:hAnsi="Times New Roman" w:cs="Times New Roman"/>
          <w:sz w:val="24"/>
          <w:szCs w:val="24"/>
        </w:rPr>
        <w:t xml:space="preserve">s include transit </w:t>
      </w:r>
      <w:r w:rsidR="00FB646D">
        <w:rPr>
          <w:rFonts w:ascii="Times New Roman" w:hAnsi="Times New Roman" w:cs="Times New Roman"/>
          <w:sz w:val="24"/>
          <w:szCs w:val="24"/>
        </w:rPr>
        <w:t>provider</w:t>
      </w:r>
      <w:r w:rsidRPr="00117BDA">
        <w:rPr>
          <w:rFonts w:ascii="Times New Roman" w:hAnsi="Times New Roman" w:cs="Times New Roman"/>
          <w:sz w:val="24"/>
          <w:szCs w:val="24"/>
        </w:rPr>
        <w:t xml:space="preserve"> representation by October 1, 2014. This </w:t>
      </w:r>
      <w:r>
        <w:rPr>
          <w:rFonts w:ascii="Times New Roman" w:hAnsi="Times New Roman" w:cs="Times New Roman"/>
          <w:sz w:val="24"/>
          <w:szCs w:val="24"/>
        </w:rPr>
        <w:t>means</w:t>
      </w:r>
      <w:r w:rsidRPr="00117BDA">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117BDA">
        <w:rPr>
          <w:rFonts w:ascii="Times New Roman" w:hAnsi="Times New Roman" w:cs="Times New Roman"/>
          <w:sz w:val="24"/>
          <w:szCs w:val="24"/>
        </w:rPr>
        <w:t xml:space="preserve">transit </w:t>
      </w:r>
      <w:r w:rsidR="00FB646D">
        <w:rPr>
          <w:rFonts w:ascii="Times New Roman" w:hAnsi="Times New Roman" w:cs="Times New Roman"/>
          <w:sz w:val="24"/>
          <w:szCs w:val="24"/>
        </w:rPr>
        <w:t>provider</w:t>
      </w:r>
      <w:r w:rsidRPr="00117BDA">
        <w:rPr>
          <w:rFonts w:ascii="Times New Roman" w:hAnsi="Times New Roman" w:cs="Times New Roman"/>
          <w:sz w:val="24"/>
          <w:szCs w:val="24"/>
        </w:rPr>
        <w:t>s</w:t>
      </w:r>
      <w:r>
        <w:rPr>
          <w:rFonts w:ascii="Times New Roman" w:hAnsi="Times New Roman" w:cs="Times New Roman"/>
          <w:sz w:val="24"/>
          <w:szCs w:val="24"/>
        </w:rPr>
        <w:t xml:space="preserve"> will have</w:t>
      </w:r>
      <w:r w:rsidRPr="00117BDA">
        <w:rPr>
          <w:rFonts w:ascii="Times New Roman" w:hAnsi="Times New Roman" w:cs="Times New Roman"/>
          <w:sz w:val="24"/>
          <w:szCs w:val="24"/>
        </w:rPr>
        <w:t xml:space="preserve"> </w:t>
      </w:r>
      <w:r>
        <w:rPr>
          <w:rFonts w:ascii="Times New Roman" w:hAnsi="Times New Roman" w:cs="Times New Roman"/>
          <w:sz w:val="24"/>
          <w:szCs w:val="24"/>
        </w:rPr>
        <w:t xml:space="preserve">a </w:t>
      </w:r>
      <w:r w:rsidR="00FB646D">
        <w:rPr>
          <w:rFonts w:ascii="Times New Roman" w:hAnsi="Times New Roman" w:cs="Times New Roman"/>
          <w:sz w:val="24"/>
          <w:szCs w:val="24"/>
        </w:rPr>
        <w:t xml:space="preserve">stronger voice </w:t>
      </w:r>
      <w:r w:rsidRPr="00117BDA">
        <w:rPr>
          <w:rFonts w:ascii="Times New Roman" w:hAnsi="Times New Roman" w:cs="Times New Roman"/>
          <w:sz w:val="24"/>
          <w:szCs w:val="24"/>
        </w:rPr>
        <w:t>in setting priorities for policy, plan, and program development</w:t>
      </w:r>
      <w:r>
        <w:rPr>
          <w:rFonts w:ascii="Times New Roman" w:hAnsi="Times New Roman" w:cs="Times New Roman"/>
          <w:sz w:val="24"/>
          <w:szCs w:val="24"/>
        </w:rPr>
        <w:t>.</w:t>
      </w:r>
      <w:r w:rsidRPr="00117BDA">
        <w:rPr>
          <w:rFonts w:ascii="Times New Roman" w:hAnsi="Times New Roman" w:cs="Times New Roman"/>
          <w:sz w:val="24"/>
          <w:szCs w:val="24"/>
        </w:rPr>
        <w:t xml:space="preserve"> </w:t>
      </w:r>
      <w:r>
        <w:rPr>
          <w:rFonts w:ascii="Times New Roman" w:hAnsi="Times New Roman" w:cs="Times New Roman"/>
          <w:sz w:val="24"/>
          <w:szCs w:val="24"/>
        </w:rPr>
        <w:t>T</w:t>
      </w:r>
      <w:r w:rsidRPr="00117BDA">
        <w:rPr>
          <w:rFonts w:ascii="Times New Roman" w:hAnsi="Times New Roman" w:cs="Times New Roman"/>
          <w:sz w:val="24"/>
          <w:szCs w:val="24"/>
        </w:rPr>
        <w:t>o be most effective</w:t>
      </w:r>
      <w:r>
        <w:rPr>
          <w:rFonts w:ascii="Times New Roman" w:hAnsi="Times New Roman" w:cs="Times New Roman"/>
          <w:sz w:val="24"/>
          <w:szCs w:val="24"/>
        </w:rPr>
        <w:t xml:space="preserve"> in implementing this provision</w:t>
      </w:r>
      <w:r w:rsidRPr="00117BDA">
        <w:rPr>
          <w:rFonts w:ascii="Times New Roman" w:hAnsi="Times New Roman" w:cs="Times New Roman"/>
          <w:sz w:val="24"/>
          <w:szCs w:val="24"/>
        </w:rPr>
        <w:t xml:space="preserve">, transit </w:t>
      </w:r>
      <w:r>
        <w:rPr>
          <w:rFonts w:ascii="Times New Roman" w:hAnsi="Times New Roman" w:cs="Times New Roman"/>
          <w:sz w:val="24"/>
          <w:szCs w:val="24"/>
        </w:rPr>
        <w:t>provider</w:t>
      </w:r>
      <w:r w:rsidRPr="00117BDA">
        <w:rPr>
          <w:rFonts w:ascii="Times New Roman" w:hAnsi="Times New Roman" w:cs="Times New Roman"/>
          <w:sz w:val="24"/>
          <w:szCs w:val="24"/>
        </w:rPr>
        <w:t xml:space="preserve">s </w:t>
      </w:r>
      <w:r>
        <w:rPr>
          <w:rFonts w:ascii="Times New Roman" w:hAnsi="Times New Roman" w:cs="Times New Roman"/>
          <w:sz w:val="24"/>
          <w:szCs w:val="24"/>
        </w:rPr>
        <w:t>should</w:t>
      </w:r>
      <w:r w:rsidRPr="00117BDA">
        <w:rPr>
          <w:rFonts w:ascii="Times New Roman" w:hAnsi="Times New Roman" w:cs="Times New Roman"/>
          <w:sz w:val="24"/>
          <w:szCs w:val="24"/>
        </w:rPr>
        <w:t xml:space="preserve"> complement their </w:t>
      </w:r>
      <w:r>
        <w:rPr>
          <w:rFonts w:ascii="Times New Roman" w:hAnsi="Times New Roman" w:cs="Times New Roman"/>
          <w:sz w:val="24"/>
          <w:szCs w:val="24"/>
        </w:rPr>
        <w:t xml:space="preserve">Policy Board </w:t>
      </w:r>
      <w:r w:rsidRPr="00117BDA">
        <w:rPr>
          <w:rFonts w:ascii="Times New Roman" w:hAnsi="Times New Roman" w:cs="Times New Roman"/>
          <w:sz w:val="24"/>
          <w:szCs w:val="24"/>
        </w:rPr>
        <w:t>representation</w:t>
      </w:r>
      <w:r>
        <w:rPr>
          <w:rFonts w:ascii="Times New Roman" w:hAnsi="Times New Roman" w:cs="Times New Roman"/>
          <w:sz w:val="24"/>
          <w:szCs w:val="24"/>
        </w:rPr>
        <w:t xml:space="preserve"> by pro</w:t>
      </w:r>
      <w:r w:rsidRPr="00117BDA">
        <w:rPr>
          <w:rFonts w:ascii="Times New Roman" w:hAnsi="Times New Roman" w:cs="Times New Roman"/>
          <w:sz w:val="24"/>
          <w:szCs w:val="24"/>
        </w:rPr>
        <w:t>active</w:t>
      </w:r>
      <w:r>
        <w:rPr>
          <w:rFonts w:ascii="Times New Roman" w:hAnsi="Times New Roman" w:cs="Times New Roman"/>
          <w:sz w:val="24"/>
          <w:szCs w:val="24"/>
        </w:rPr>
        <w:t xml:space="preserve">ly </w:t>
      </w:r>
      <w:r w:rsidRPr="00117BDA">
        <w:rPr>
          <w:rFonts w:ascii="Times New Roman" w:hAnsi="Times New Roman" w:cs="Times New Roman"/>
          <w:sz w:val="24"/>
          <w:szCs w:val="24"/>
        </w:rPr>
        <w:t>participatin</w:t>
      </w:r>
      <w:r>
        <w:rPr>
          <w:rFonts w:ascii="Times New Roman" w:hAnsi="Times New Roman" w:cs="Times New Roman"/>
          <w:sz w:val="24"/>
          <w:szCs w:val="24"/>
        </w:rPr>
        <w:t>g</w:t>
      </w:r>
      <w:r w:rsidRPr="00117BDA">
        <w:rPr>
          <w:rFonts w:ascii="Times New Roman" w:hAnsi="Times New Roman" w:cs="Times New Roman"/>
          <w:sz w:val="24"/>
          <w:szCs w:val="24"/>
        </w:rPr>
        <w:t xml:space="preserve"> in the various </w:t>
      </w:r>
      <w:r>
        <w:rPr>
          <w:rFonts w:ascii="Times New Roman" w:hAnsi="Times New Roman" w:cs="Times New Roman"/>
          <w:sz w:val="24"/>
          <w:szCs w:val="24"/>
        </w:rPr>
        <w:t xml:space="preserve">MPO </w:t>
      </w:r>
      <w:r w:rsidRPr="00117BDA">
        <w:rPr>
          <w:rFonts w:ascii="Times New Roman" w:hAnsi="Times New Roman" w:cs="Times New Roman"/>
          <w:sz w:val="24"/>
          <w:szCs w:val="24"/>
        </w:rPr>
        <w:t>advisory committees</w:t>
      </w:r>
      <w:r>
        <w:rPr>
          <w:rFonts w:ascii="Times New Roman" w:hAnsi="Times New Roman" w:cs="Times New Roman"/>
          <w:sz w:val="24"/>
          <w:szCs w:val="24"/>
        </w:rPr>
        <w:t xml:space="preserve"> (see </w:t>
      </w:r>
      <w:hyperlink r:id="rId28" w:history="1">
        <w:r w:rsidRPr="007F0DA9">
          <w:rPr>
            <w:rStyle w:val="Hyperlink"/>
            <w:rFonts w:ascii="Times New Roman" w:hAnsi="Times New Roman" w:cs="Times New Roman"/>
            <w:sz w:val="24"/>
            <w:szCs w:val="24"/>
          </w:rPr>
          <w:t>49 U.S.C. 5303(d)</w:t>
        </w:r>
      </w:hyperlink>
      <w:r>
        <w:rPr>
          <w:rFonts w:ascii="Times New Roman" w:hAnsi="Times New Roman" w:cs="Times New Roman"/>
          <w:sz w:val="24"/>
          <w:szCs w:val="24"/>
        </w:rPr>
        <w:t>)</w:t>
      </w:r>
      <w:r w:rsidRPr="00117BDA">
        <w:rPr>
          <w:rFonts w:ascii="Times New Roman" w:hAnsi="Times New Roman" w:cs="Times New Roman"/>
          <w:sz w:val="24"/>
          <w:szCs w:val="24"/>
        </w:rPr>
        <w:t>.</w:t>
      </w:r>
    </w:p>
    <w:p w:rsidR="00DA7001" w:rsidRPr="00DA7001" w:rsidRDefault="00DA7001" w:rsidP="00DA7001">
      <w:pPr>
        <w:spacing w:after="0"/>
        <w:ind w:left="360"/>
        <w:rPr>
          <w:rFonts w:ascii="Times New Roman" w:hAnsi="Times New Roman" w:cs="Times New Roman"/>
          <w:b/>
          <w:sz w:val="24"/>
          <w:szCs w:val="24"/>
          <w:u w:val="single"/>
        </w:rPr>
      </w:pPr>
    </w:p>
    <w:p w:rsidR="0018624B" w:rsidRPr="0065008A" w:rsidRDefault="0018624B" w:rsidP="0018624B">
      <w:pPr>
        <w:rPr>
          <w:rFonts w:ascii="Times New Roman" w:hAnsi="Times New Roman" w:cs="Times New Roman"/>
          <w:b/>
          <w:sz w:val="24"/>
          <w:szCs w:val="24"/>
          <w:u w:val="single"/>
        </w:rPr>
      </w:pPr>
      <w:r w:rsidRPr="0065008A">
        <w:rPr>
          <w:rFonts w:ascii="Times New Roman" w:hAnsi="Times New Roman" w:cs="Times New Roman"/>
          <w:b/>
          <w:sz w:val="24"/>
          <w:szCs w:val="24"/>
          <w:u w:val="single"/>
        </w:rPr>
        <w:t>Question #1</w:t>
      </w:r>
      <w:r>
        <w:rPr>
          <w:rFonts w:ascii="Times New Roman" w:hAnsi="Times New Roman" w:cs="Times New Roman"/>
          <w:b/>
          <w:sz w:val="24"/>
          <w:szCs w:val="24"/>
          <w:u w:val="single"/>
        </w:rPr>
        <w:t>0</w:t>
      </w:r>
      <w:r w:rsidRPr="0065008A">
        <w:rPr>
          <w:rFonts w:ascii="Times New Roman" w:hAnsi="Times New Roman" w:cs="Times New Roman"/>
          <w:b/>
          <w:sz w:val="24"/>
          <w:szCs w:val="24"/>
          <w:u w:val="single"/>
        </w:rPr>
        <w:t xml:space="preserve">: What are the benefits </w:t>
      </w:r>
      <w:r w:rsidR="0097392F">
        <w:rPr>
          <w:rFonts w:ascii="Times New Roman" w:hAnsi="Times New Roman" w:cs="Times New Roman"/>
          <w:b/>
          <w:sz w:val="24"/>
          <w:szCs w:val="24"/>
          <w:u w:val="single"/>
        </w:rPr>
        <w:t xml:space="preserve">to transit providers of </w:t>
      </w:r>
      <w:r w:rsidRPr="0065008A">
        <w:rPr>
          <w:rFonts w:ascii="Times New Roman" w:hAnsi="Times New Roman" w:cs="Times New Roman"/>
          <w:b/>
          <w:sz w:val="24"/>
          <w:szCs w:val="24"/>
          <w:u w:val="single"/>
        </w:rPr>
        <w:t>participatin</w:t>
      </w:r>
      <w:r w:rsidR="0097392F">
        <w:rPr>
          <w:rFonts w:ascii="Times New Roman" w:hAnsi="Times New Roman" w:cs="Times New Roman"/>
          <w:b/>
          <w:sz w:val="24"/>
          <w:szCs w:val="24"/>
          <w:u w:val="single"/>
        </w:rPr>
        <w:t>g</w:t>
      </w:r>
      <w:r w:rsidRPr="0065008A">
        <w:rPr>
          <w:rFonts w:ascii="Times New Roman" w:hAnsi="Times New Roman" w:cs="Times New Roman"/>
          <w:b/>
          <w:sz w:val="24"/>
          <w:szCs w:val="24"/>
          <w:u w:val="single"/>
        </w:rPr>
        <w:t xml:space="preserve"> in </w:t>
      </w:r>
      <w:r w:rsidR="0097392F">
        <w:rPr>
          <w:rFonts w:ascii="Times New Roman" w:hAnsi="Times New Roman" w:cs="Times New Roman"/>
          <w:b/>
          <w:sz w:val="24"/>
          <w:szCs w:val="24"/>
          <w:u w:val="single"/>
        </w:rPr>
        <w:t xml:space="preserve">the </w:t>
      </w:r>
      <w:r w:rsidRPr="0065008A">
        <w:rPr>
          <w:rFonts w:ascii="Times New Roman" w:hAnsi="Times New Roman" w:cs="Times New Roman"/>
          <w:b/>
          <w:sz w:val="24"/>
          <w:szCs w:val="24"/>
          <w:u w:val="single"/>
        </w:rPr>
        <w:t>metropolitan planning</w:t>
      </w:r>
      <w:r w:rsidR="0097392F">
        <w:rPr>
          <w:rFonts w:ascii="Times New Roman" w:hAnsi="Times New Roman" w:cs="Times New Roman"/>
          <w:b/>
          <w:sz w:val="24"/>
          <w:szCs w:val="24"/>
          <w:u w:val="single"/>
        </w:rPr>
        <w:t xml:space="preserve"> process</w:t>
      </w:r>
      <w:r w:rsidRPr="0065008A">
        <w:rPr>
          <w:rFonts w:ascii="Times New Roman" w:hAnsi="Times New Roman" w:cs="Times New Roman"/>
          <w:b/>
          <w:sz w:val="24"/>
          <w:szCs w:val="24"/>
          <w:u w:val="single"/>
        </w:rPr>
        <w:t>?</w:t>
      </w:r>
    </w:p>
    <w:p w:rsidR="00145758" w:rsidRPr="0065008A" w:rsidRDefault="003336DC" w:rsidP="00145758">
      <w:pPr>
        <w:rPr>
          <w:rFonts w:ascii="Times New Roman" w:hAnsi="Times New Roman" w:cs="Times New Roman"/>
          <w:sz w:val="24"/>
          <w:szCs w:val="24"/>
        </w:rPr>
      </w:pPr>
      <w:r>
        <w:rPr>
          <w:rFonts w:ascii="Times New Roman" w:hAnsi="Times New Roman" w:cs="Times New Roman"/>
          <w:sz w:val="24"/>
          <w:szCs w:val="24"/>
        </w:rPr>
        <w:t xml:space="preserve">Participation in </w:t>
      </w:r>
      <w:r w:rsidR="00145758">
        <w:rPr>
          <w:rFonts w:ascii="Times New Roman" w:hAnsi="Times New Roman" w:cs="Times New Roman"/>
          <w:sz w:val="24"/>
          <w:szCs w:val="24"/>
        </w:rPr>
        <w:t xml:space="preserve">the metropolitan planning process </w:t>
      </w:r>
      <w:r>
        <w:rPr>
          <w:rFonts w:ascii="Times New Roman" w:hAnsi="Times New Roman" w:cs="Times New Roman"/>
          <w:sz w:val="24"/>
          <w:szCs w:val="24"/>
        </w:rPr>
        <w:t xml:space="preserve">enables transit providers </w:t>
      </w:r>
      <w:r w:rsidR="00145758">
        <w:rPr>
          <w:rFonts w:ascii="Times New Roman" w:hAnsi="Times New Roman" w:cs="Times New Roman"/>
          <w:sz w:val="24"/>
          <w:szCs w:val="24"/>
        </w:rPr>
        <w:t xml:space="preserve">to ensure that their </w:t>
      </w:r>
      <w:r>
        <w:rPr>
          <w:rFonts w:ascii="Times New Roman" w:hAnsi="Times New Roman" w:cs="Times New Roman"/>
          <w:sz w:val="24"/>
          <w:szCs w:val="24"/>
        </w:rPr>
        <w:t xml:space="preserve">preventive maintenance, </w:t>
      </w:r>
      <w:r w:rsidR="00145758">
        <w:rPr>
          <w:rFonts w:ascii="Times New Roman" w:hAnsi="Times New Roman" w:cs="Times New Roman"/>
          <w:sz w:val="24"/>
          <w:szCs w:val="24"/>
        </w:rPr>
        <w:t>critical infrastructure renewal</w:t>
      </w:r>
      <w:r>
        <w:rPr>
          <w:rFonts w:ascii="Times New Roman" w:hAnsi="Times New Roman" w:cs="Times New Roman"/>
          <w:sz w:val="24"/>
          <w:szCs w:val="24"/>
        </w:rPr>
        <w:t>,</w:t>
      </w:r>
      <w:r w:rsidR="00145758">
        <w:rPr>
          <w:rFonts w:ascii="Times New Roman" w:hAnsi="Times New Roman" w:cs="Times New Roman"/>
          <w:sz w:val="24"/>
          <w:szCs w:val="24"/>
        </w:rPr>
        <w:t xml:space="preserve"> and capital investment needs </w:t>
      </w:r>
      <w:r>
        <w:rPr>
          <w:rFonts w:ascii="Times New Roman" w:hAnsi="Times New Roman" w:cs="Times New Roman"/>
          <w:sz w:val="24"/>
          <w:szCs w:val="24"/>
        </w:rPr>
        <w:t xml:space="preserve">are communicated to the MPO and included in the MTP and TIP as the basis for </w:t>
      </w:r>
      <w:r w:rsidR="006C611D">
        <w:rPr>
          <w:rFonts w:ascii="Times New Roman" w:hAnsi="Times New Roman" w:cs="Times New Roman"/>
          <w:sz w:val="24"/>
          <w:szCs w:val="24"/>
        </w:rPr>
        <w:t xml:space="preserve">receiving </w:t>
      </w:r>
      <w:r>
        <w:rPr>
          <w:rFonts w:ascii="Times New Roman" w:hAnsi="Times New Roman" w:cs="Times New Roman"/>
          <w:sz w:val="24"/>
          <w:szCs w:val="24"/>
        </w:rPr>
        <w:t>fund</w:t>
      </w:r>
      <w:r w:rsidR="006C611D">
        <w:rPr>
          <w:rFonts w:ascii="Times New Roman" w:hAnsi="Times New Roman" w:cs="Times New Roman"/>
          <w:sz w:val="24"/>
          <w:szCs w:val="24"/>
        </w:rPr>
        <w:t xml:space="preserve">s </w:t>
      </w:r>
      <w:r w:rsidR="006C611D">
        <w:rPr>
          <w:rFonts w:ascii="Times New Roman" w:hAnsi="Times New Roman" w:cs="Times New Roman"/>
          <w:sz w:val="24"/>
          <w:szCs w:val="24"/>
        </w:rPr>
        <w:lastRenderedPageBreak/>
        <w:t>from</w:t>
      </w:r>
      <w:r>
        <w:rPr>
          <w:rFonts w:ascii="Times New Roman" w:hAnsi="Times New Roman" w:cs="Times New Roman"/>
          <w:sz w:val="24"/>
          <w:szCs w:val="24"/>
        </w:rPr>
        <w:t xml:space="preserve"> </w:t>
      </w:r>
      <w:r w:rsidR="00145758">
        <w:rPr>
          <w:rFonts w:ascii="Times New Roman" w:hAnsi="Times New Roman" w:cs="Times New Roman"/>
          <w:sz w:val="24"/>
          <w:szCs w:val="24"/>
        </w:rPr>
        <w:t>FTA and FHWA.  Furthermore</w:t>
      </w:r>
      <w:r w:rsidR="00145758" w:rsidRPr="0065008A">
        <w:rPr>
          <w:rFonts w:ascii="Times New Roman" w:hAnsi="Times New Roman" w:cs="Times New Roman"/>
          <w:sz w:val="24"/>
          <w:szCs w:val="24"/>
        </w:rPr>
        <w:t xml:space="preserve">, transit </w:t>
      </w:r>
      <w:r w:rsidR="00145758">
        <w:rPr>
          <w:rFonts w:ascii="Times New Roman" w:hAnsi="Times New Roman" w:cs="Times New Roman"/>
          <w:sz w:val="24"/>
          <w:szCs w:val="24"/>
        </w:rPr>
        <w:t xml:space="preserve">providers have the </w:t>
      </w:r>
      <w:r w:rsidR="00145758" w:rsidRPr="0065008A">
        <w:rPr>
          <w:rFonts w:ascii="Times New Roman" w:hAnsi="Times New Roman" w:cs="Times New Roman"/>
          <w:sz w:val="24"/>
          <w:szCs w:val="24"/>
        </w:rPr>
        <w:t>opportunit</w:t>
      </w:r>
      <w:r w:rsidR="00145758">
        <w:rPr>
          <w:rFonts w:ascii="Times New Roman" w:hAnsi="Times New Roman" w:cs="Times New Roman"/>
          <w:sz w:val="24"/>
          <w:szCs w:val="24"/>
        </w:rPr>
        <w:t xml:space="preserve">y </w:t>
      </w:r>
      <w:r w:rsidR="00145758" w:rsidRPr="0065008A">
        <w:rPr>
          <w:rFonts w:ascii="Times New Roman" w:hAnsi="Times New Roman" w:cs="Times New Roman"/>
          <w:sz w:val="24"/>
          <w:szCs w:val="24"/>
        </w:rPr>
        <w:t xml:space="preserve">to </w:t>
      </w:r>
      <w:r w:rsidR="00145758">
        <w:rPr>
          <w:rFonts w:ascii="Times New Roman" w:hAnsi="Times New Roman" w:cs="Times New Roman"/>
          <w:sz w:val="24"/>
          <w:szCs w:val="24"/>
        </w:rPr>
        <w:t xml:space="preserve">reinforce </w:t>
      </w:r>
      <w:r w:rsidR="00824A22">
        <w:rPr>
          <w:rFonts w:ascii="Times New Roman" w:hAnsi="Times New Roman" w:cs="Times New Roman"/>
          <w:sz w:val="24"/>
          <w:szCs w:val="24"/>
        </w:rPr>
        <w:t xml:space="preserve">the case for </w:t>
      </w:r>
      <w:r w:rsidR="00145758" w:rsidRPr="0065008A">
        <w:rPr>
          <w:rFonts w:ascii="Times New Roman" w:hAnsi="Times New Roman" w:cs="Times New Roman"/>
          <w:sz w:val="24"/>
          <w:szCs w:val="24"/>
        </w:rPr>
        <w:t xml:space="preserve">transit </w:t>
      </w:r>
      <w:r w:rsidR="00145758">
        <w:rPr>
          <w:rFonts w:ascii="Times New Roman" w:hAnsi="Times New Roman" w:cs="Times New Roman"/>
          <w:sz w:val="24"/>
          <w:szCs w:val="24"/>
        </w:rPr>
        <w:t>options and considerations</w:t>
      </w:r>
      <w:r w:rsidR="00145758" w:rsidRPr="0065008A">
        <w:rPr>
          <w:rFonts w:ascii="Times New Roman" w:hAnsi="Times New Roman" w:cs="Times New Roman"/>
          <w:sz w:val="24"/>
          <w:szCs w:val="24"/>
        </w:rPr>
        <w:t xml:space="preserve"> </w:t>
      </w:r>
      <w:r>
        <w:rPr>
          <w:rFonts w:ascii="Times New Roman" w:hAnsi="Times New Roman" w:cs="Times New Roman"/>
          <w:sz w:val="24"/>
          <w:szCs w:val="24"/>
        </w:rPr>
        <w:t xml:space="preserve">through the policy and technical analyses conducted by the MPO to </w:t>
      </w:r>
      <w:r w:rsidR="00145758">
        <w:rPr>
          <w:rFonts w:ascii="Times New Roman" w:hAnsi="Times New Roman" w:cs="Times New Roman"/>
          <w:sz w:val="24"/>
          <w:szCs w:val="24"/>
        </w:rPr>
        <w:t>address the metropolitan planning area’s regional mobility solutions and strategies</w:t>
      </w:r>
      <w:r w:rsidR="00145758" w:rsidRPr="0065008A">
        <w:rPr>
          <w:rFonts w:ascii="Times New Roman" w:hAnsi="Times New Roman" w:cs="Times New Roman"/>
          <w:sz w:val="24"/>
          <w:szCs w:val="24"/>
        </w:rPr>
        <w:t xml:space="preserve">. </w:t>
      </w:r>
      <w:r w:rsidR="00145758">
        <w:rPr>
          <w:rFonts w:ascii="Times New Roman" w:hAnsi="Times New Roman" w:cs="Times New Roman"/>
          <w:sz w:val="24"/>
          <w:szCs w:val="24"/>
        </w:rPr>
        <w:t xml:space="preserve">Transit studies and related planning activities </w:t>
      </w:r>
      <w:r>
        <w:rPr>
          <w:rFonts w:ascii="Times New Roman" w:hAnsi="Times New Roman" w:cs="Times New Roman"/>
          <w:sz w:val="24"/>
          <w:szCs w:val="24"/>
        </w:rPr>
        <w:t xml:space="preserve">listed in the UPWP </w:t>
      </w:r>
      <w:r w:rsidR="00145758">
        <w:rPr>
          <w:rFonts w:ascii="Times New Roman" w:hAnsi="Times New Roman" w:cs="Times New Roman"/>
          <w:sz w:val="24"/>
          <w:szCs w:val="24"/>
        </w:rPr>
        <w:t xml:space="preserve">can educate the State and local officials on transit </w:t>
      </w:r>
      <w:r w:rsidR="00824A22">
        <w:rPr>
          <w:rFonts w:ascii="Times New Roman" w:hAnsi="Times New Roman" w:cs="Times New Roman"/>
          <w:sz w:val="24"/>
          <w:szCs w:val="24"/>
        </w:rPr>
        <w:t>needs</w:t>
      </w:r>
      <w:r w:rsidR="00145758">
        <w:rPr>
          <w:rFonts w:ascii="Times New Roman" w:hAnsi="Times New Roman" w:cs="Times New Roman"/>
          <w:sz w:val="24"/>
          <w:szCs w:val="24"/>
        </w:rPr>
        <w:t xml:space="preserve">, and may lead to </w:t>
      </w:r>
      <w:r>
        <w:rPr>
          <w:rFonts w:ascii="Times New Roman" w:hAnsi="Times New Roman" w:cs="Times New Roman"/>
          <w:sz w:val="24"/>
          <w:szCs w:val="24"/>
        </w:rPr>
        <w:t xml:space="preserve">an </w:t>
      </w:r>
      <w:r w:rsidR="00145758">
        <w:rPr>
          <w:rFonts w:ascii="Times New Roman" w:hAnsi="Times New Roman" w:cs="Times New Roman"/>
          <w:sz w:val="24"/>
          <w:szCs w:val="24"/>
        </w:rPr>
        <w:t xml:space="preserve">increased funding commitment for transit. Another outcome may include consideration of other flexible funds </w:t>
      </w:r>
      <w:r>
        <w:rPr>
          <w:rFonts w:ascii="Times New Roman" w:hAnsi="Times New Roman" w:cs="Times New Roman"/>
          <w:sz w:val="24"/>
          <w:szCs w:val="24"/>
        </w:rPr>
        <w:t xml:space="preserve">from FHWA </w:t>
      </w:r>
      <w:r w:rsidR="00145758">
        <w:rPr>
          <w:rFonts w:ascii="Times New Roman" w:hAnsi="Times New Roman" w:cs="Times New Roman"/>
          <w:sz w:val="24"/>
          <w:szCs w:val="24"/>
        </w:rPr>
        <w:t>to augment FTA fund</w:t>
      </w:r>
      <w:r w:rsidR="00824A22">
        <w:rPr>
          <w:rFonts w:ascii="Times New Roman" w:hAnsi="Times New Roman" w:cs="Times New Roman"/>
          <w:sz w:val="24"/>
          <w:szCs w:val="24"/>
        </w:rPr>
        <w:t>s</w:t>
      </w:r>
      <w:r w:rsidR="00145758">
        <w:rPr>
          <w:rFonts w:ascii="Times New Roman" w:hAnsi="Times New Roman" w:cs="Times New Roman"/>
          <w:sz w:val="24"/>
          <w:szCs w:val="24"/>
        </w:rPr>
        <w:t>.</w:t>
      </w:r>
    </w:p>
    <w:p w:rsidR="0065008A" w:rsidRPr="0065008A" w:rsidRDefault="0065008A" w:rsidP="0065008A">
      <w:pPr>
        <w:rPr>
          <w:rFonts w:ascii="Times New Roman" w:hAnsi="Times New Roman" w:cs="Times New Roman"/>
          <w:b/>
          <w:sz w:val="24"/>
          <w:szCs w:val="24"/>
          <w:u w:val="single"/>
        </w:rPr>
      </w:pPr>
      <w:r w:rsidRPr="0065008A">
        <w:rPr>
          <w:rFonts w:ascii="Times New Roman" w:hAnsi="Times New Roman" w:cs="Times New Roman"/>
          <w:b/>
          <w:sz w:val="24"/>
          <w:szCs w:val="24"/>
          <w:u w:val="single"/>
        </w:rPr>
        <w:t>Question #1</w:t>
      </w:r>
      <w:r w:rsidR="005B6B4F">
        <w:rPr>
          <w:rFonts w:ascii="Times New Roman" w:hAnsi="Times New Roman" w:cs="Times New Roman"/>
          <w:b/>
          <w:sz w:val="24"/>
          <w:szCs w:val="24"/>
          <w:u w:val="single"/>
        </w:rPr>
        <w:t>1</w:t>
      </w:r>
      <w:r w:rsidRPr="0065008A">
        <w:rPr>
          <w:rFonts w:ascii="Times New Roman" w:hAnsi="Times New Roman" w:cs="Times New Roman"/>
          <w:b/>
          <w:sz w:val="24"/>
          <w:szCs w:val="24"/>
          <w:u w:val="single"/>
        </w:rPr>
        <w:t xml:space="preserve">:  </w:t>
      </w:r>
      <w:r w:rsidR="00D551F0">
        <w:rPr>
          <w:rFonts w:ascii="Times New Roman" w:hAnsi="Times New Roman" w:cs="Times New Roman"/>
          <w:b/>
          <w:sz w:val="24"/>
          <w:szCs w:val="24"/>
          <w:u w:val="single"/>
        </w:rPr>
        <w:t xml:space="preserve">How can </w:t>
      </w:r>
      <w:r w:rsidRPr="0065008A">
        <w:rPr>
          <w:rFonts w:ascii="Times New Roman" w:hAnsi="Times New Roman" w:cs="Times New Roman"/>
          <w:b/>
          <w:sz w:val="24"/>
          <w:szCs w:val="24"/>
          <w:u w:val="single"/>
        </w:rPr>
        <w:t xml:space="preserve">a transit </w:t>
      </w:r>
      <w:r w:rsidR="0042777E">
        <w:rPr>
          <w:rFonts w:ascii="Times New Roman" w:hAnsi="Times New Roman" w:cs="Times New Roman"/>
          <w:b/>
          <w:sz w:val="24"/>
          <w:szCs w:val="24"/>
          <w:u w:val="single"/>
        </w:rPr>
        <w:t>provider</w:t>
      </w:r>
      <w:r w:rsidRPr="0065008A">
        <w:rPr>
          <w:rFonts w:ascii="Times New Roman" w:hAnsi="Times New Roman" w:cs="Times New Roman"/>
          <w:b/>
          <w:sz w:val="24"/>
          <w:szCs w:val="24"/>
          <w:u w:val="single"/>
        </w:rPr>
        <w:t xml:space="preserve"> serving a </w:t>
      </w:r>
      <w:r w:rsidR="00E24CFA">
        <w:rPr>
          <w:rFonts w:ascii="Times New Roman" w:hAnsi="Times New Roman" w:cs="Times New Roman"/>
          <w:b/>
          <w:sz w:val="24"/>
          <w:szCs w:val="24"/>
          <w:u w:val="single"/>
        </w:rPr>
        <w:t xml:space="preserve">newly designated </w:t>
      </w:r>
      <w:r w:rsidRPr="0065008A">
        <w:rPr>
          <w:rFonts w:ascii="Times New Roman" w:hAnsi="Times New Roman" w:cs="Times New Roman"/>
          <w:b/>
          <w:sz w:val="24"/>
          <w:szCs w:val="24"/>
          <w:u w:val="single"/>
        </w:rPr>
        <w:t>UZA participate most effectively in a newly established metropolitan transportation planning process?</w:t>
      </w:r>
    </w:p>
    <w:p w:rsidR="00FA20C7" w:rsidRDefault="00FA20C7" w:rsidP="00FA20C7">
      <w:pPr>
        <w:rPr>
          <w:rFonts w:ascii="Times New Roman" w:hAnsi="Times New Roman" w:cs="Times New Roman"/>
          <w:sz w:val="24"/>
          <w:szCs w:val="24"/>
        </w:rPr>
      </w:pPr>
      <w:r w:rsidRPr="0065008A">
        <w:rPr>
          <w:rFonts w:ascii="Times New Roman" w:hAnsi="Times New Roman" w:cs="Times New Roman"/>
          <w:sz w:val="24"/>
          <w:szCs w:val="24"/>
        </w:rPr>
        <w:t xml:space="preserve">Transit </w:t>
      </w:r>
      <w:r>
        <w:rPr>
          <w:rFonts w:ascii="Times New Roman" w:hAnsi="Times New Roman" w:cs="Times New Roman"/>
          <w:sz w:val="24"/>
          <w:szCs w:val="24"/>
        </w:rPr>
        <w:t>provider</w:t>
      </w:r>
      <w:r w:rsidRPr="0065008A">
        <w:rPr>
          <w:rFonts w:ascii="Times New Roman" w:hAnsi="Times New Roman" w:cs="Times New Roman"/>
          <w:sz w:val="24"/>
          <w:szCs w:val="24"/>
        </w:rPr>
        <w:t xml:space="preserve">s </w:t>
      </w:r>
      <w:r>
        <w:rPr>
          <w:rFonts w:ascii="Times New Roman" w:hAnsi="Times New Roman" w:cs="Times New Roman"/>
          <w:sz w:val="24"/>
          <w:szCs w:val="24"/>
        </w:rPr>
        <w:t xml:space="preserve">in new UZAs </w:t>
      </w:r>
      <w:r w:rsidRPr="0065008A">
        <w:rPr>
          <w:rFonts w:ascii="Times New Roman" w:hAnsi="Times New Roman" w:cs="Times New Roman"/>
          <w:sz w:val="24"/>
          <w:szCs w:val="24"/>
        </w:rPr>
        <w:t xml:space="preserve">should </w:t>
      </w:r>
      <w:r>
        <w:rPr>
          <w:rFonts w:ascii="Times New Roman" w:hAnsi="Times New Roman" w:cs="Times New Roman"/>
          <w:sz w:val="24"/>
          <w:szCs w:val="24"/>
        </w:rPr>
        <w:t xml:space="preserve">work with the local agencies, the MPO, and the State to help start the new MPO.  The tasks should include the following: drafting the MPO Agreement, defining the Metropolitan Planning Area boundary, participating on policy and technical advisory committees, </w:t>
      </w:r>
      <w:r w:rsidR="00824A22">
        <w:rPr>
          <w:rFonts w:ascii="Times New Roman" w:hAnsi="Times New Roman" w:cs="Times New Roman"/>
          <w:sz w:val="24"/>
          <w:szCs w:val="24"/>
        </w:rPr>
        <w:t xml:space="preserve">and </w:t>
      </w:r>
      <w:r w:rsidR="00060CB2">
        <w:rPr>
          <w:rFonts w:ascii="Times New Roman" w:hAnsi="Times New Roman" w:cs="Times New Roman"/>
          <w:sz w:val="24"/>
          <w:szCs w:val="24"/>
        </w:rPr>
        <w:t xml:space="preserve">participating in the development of </w:t>
      </w:r>
      <w:r w:rsidR="00824A22">
        <w:rPr>
          <w:rFonts w:ascii="Times New Roman" w:hAnsi="Times New Roman" w:cs="Times New Roman"/>
          <w:sz w:val="24"/>
          <w:szCs w:val="24"/>
        </w:rPr>
        <w:t xml:space="preserve">key documents - </w:t>
      </w:r>
      <w:r w:rsidR="00060CB2">
        <w:rPr>
          <w:rFonts w:ascii="Times New Roman" w:hAnsi="Times New Roman" w:cs="Times New Roman"/>
          <w:sz w:val="24"/>
          <w:szCs w:val="24"/>
        </w:rPr>
        <w:t xml:space="preserve">the UPWP, </w:t>
      </w:r>
      <w:r>
        <w:rPr>
          <w:rFonts w:ascii="Times New Roman" w:hAnsi="Times New Roman" w:cs="Times New Roman"/>
          <w:sz w:val="24"/>
          <w:szCs w:val="24"/>
        </w:rPr>
        <w:t xml:space="preserve">the CMP in TMAs, </w:t>
      </w:r>
      <w:r w:rsidR="00060CB2">
        <w:rPr>
          <w:rFonts w:ascii="Times New Roman" w:hAnsi="Times New Roman" w:cs="Times New Roman"/>
          <w:sz w:val="24"/>
          <w:szCs w:val="24"/>
        </w:rPr>
        <w:t>the MTP, and the TIP</w:t>
      </w:r>
      <w:r w:rsidR="00824A22">
        <w:rPr>
          <w:rFonts w:ascii="Times New Roman" w:hAnsi="Times New Roman" w:cs="Times New Roman"/>
          <w:sz w:val="24"/>
          <w:szCs w:val="24"/>
        </w:rPr>
        <w:t xml:space="preserve">, </w:t>
      </w:r>
      <w:r>
        <w:rPr>
          <w:rFonts w:ascii="Times New Roman" w:hAnsi="Times New Roman" w:cs="Times New Roman"/>
          <w:sz w:val="24"/>
          <w:szCs w:val="24"/>
        </w:rPr>
        <w:t xml:space="preserve">proposing projects </w:t>
      </w:r>
      <w:r w:rsidR="00824A22">
        <w:rPr>
          <w:rFonts w:ascii="Times New Roman" w:hAnsi="Times New Roman" w:cs="Times New Roman"/>
          <w:sz w:val="24"/>
          <w:szCs w:val="24"/>
        </w:rPr>
        <w:t xml:space="preserve">for inclusion </w:t>
      </w:r>
      <w:r w:rsidR="00060CB2">
        <w:rPr>
          <w:rFonts w:ascii="Times New Roman" w:hAnsi="Times New Roman" w:cs="Times New Roman"/>
          <w:sz w:val="24"/>
          <w:szCs w:val="24"/>
        </w:rPr>
        <w:t>as appropriate</w:t>
      </w:r>
      <w:r>
        <w:rPr>
          <w:rFonts w:ascii="Times New Roman" w:hAnsi="Times New Roman" w:cs="Times New Roman"/>
          <w:sz w:val="24"/>
          <w:szCs w:val="24"/>
        </w:rPr>
        <w:t>.</w:t>
      </w:r>
    </w:p>
    <w:p w:rsidR="004C6C2A" w:rsidRDefault="004C6C2A" w:rsidP="004C6C2A">
      <w:pPr>
        <w:rPr>
          <w:rFonts w:ascii="Times New Roman" w:hAnsi="Times New Roman" w:cs="Times New Roman"/>
          <w:b/>
          <w:sz w:val="24"/>
          <w:szCs w:val="24"/>
          <w:u w:val="single"/>
        </w:rPr>
      </w:pPr>
      <w:r w:rsidRPr="004C6C2A">
        <w:rPr>
          <w:rFonts w:ascii="Times New Roman" w:hAnsi="Times New Roman" w:cs="Times New Roman"/>
          <w:b/>
          <w:sz w:val="24"/>
          <w:szCs w:val="24"/>
          <w:u w:val="single"/>
        </w:rPr>
        <w:t>Question #1</w:t>
      </w:r>
      <w:r w:rsidR="00AB53E1">
        <w:rPr>
          <w:rFonts w:ascii="Times New Roman" w:hAnsi="Times New Roman" w:cs="Times New Roman"/>
          <w:b/>
          <w:sz w:val="24"/>
          <w:szCs w:val="24"/>
          <w:u w:val="single"/>
        </w:rPr>
        <w:t>2</w:t>
      </w:r>
      <w:r w:rsidRPr="004C6C2A">
        <w:rPr>
          <w:rFonts w:ascii="Times New Roman" w:hAnsi="Times New Roman" w:cs="Times New Roman"/>
          <w:b/>
          <w:sz w:val="24"/>
          <w:szCs w:val="24"/>
          <w:u w:val="single"/>
        </w:rPr>
        <w:t xml:space="preserve">: What are the </w:t>
      </w:r>
      <w:r w:rsidR="004C55E7">
        <w:rPr>
          <w:rFonts w:ascii="Times New Roman" w:hAnsi="Times New Roman" w:cs="Times New Roman"/>
          <w:b/>
          <w:sz w:val="24"/>
          <w:szCs w:val="24"/>
          <w:u w:val="single"/>
        </w:rPr>
        <w:t xml:space="preserve">respective </w:t>
      </w:r>
      <w:r w:rsidRPr="004C6C2A">
        <w:rPr>
          <w:rFonts w:ascii="Times New Roman" w:hAnsi="Times New Roman" w:cs="Times New Roman"/>
          <w:b/>
          <w:sz w:val="24"/>
          <w:szCs w:val="24"/>
          <w:u w:val="single"/>
        </w:rPr>
        <w:t xml:space="preserve">roles of the MPO and designated recipient in setting transit investment priorities for funding in </w:t>
      </w:r>
      <w:r w:rsidR="004C55E7">
        <w:rPr>
          <w:rFonts w:ascii="Times New Roman" w:hAnsi="Times New Roman" w:cs="Times New Roman"/>
          <w:b/>
          <w:sz w:val="24"/>
          <w:szCs w:val="24"/>
          <w:u w:val="single"/>
        </w:rPr>
        <w:t xml:space="preserve">a large </w:t>
      </w:r>
      <w:r w:rsidRPr="004C6C2A">
        <w:rPr>
          <w:rFonts w:ascii="Times New Roman" w:hAnsi="Times New Roman" w:cs="Times New Roman"/>
          <w:b/>
          <w:sz w:val="24"/>
          <w:szCs w:val="24"/>
          <w:u w:val="single"/>
        </w:rPr>
        <w:t>UZA?</w:t>
      </w:r>
    </w:p>
    <w:p w:rsidR="00FF154E" w:rsidRDefault="00E60A3F" w:rsidP="00A740B5">
      <w:pPr>
        <w:rPr>
          <w:rFonts w:ascii="Times New Roman" w:hAnsi="Times New Roman" w:cs="Times New Roman"/>
          <w:sz w:val="24"/>
          <w:szCs w:val="24"/>
        </w:rPr>
      </w:pPr>
      <w:r>
        <w:rPr>
          <w:rFonts w:ascii="Times New Roman" w:hAnsi="Times New Roman" w:cs="Times New Roman"/>
          <w:sz w:val="24"/>
          <w:szCs w:val="24"/>
        </w:rPr>
        <w:t>D</w:t>
      </w:r>
      <w:r w:rsidR="00414786" w:rsidRPr="00414786">
        <w:rPr>
          <w:rFonts w:ascii="Times New Roman" w:hAnsi="Times New Roman" w:cs="Times New Roman"/>
          <w:sz w:val="24"/>
          <w:szCs w:val="24"/>
        </w:rPr>
        <w:t>esignated recipient</w:t>
      </w:r>
      <w:r w:rsidR="00414786">
        <w:rPr>
          <w:rFonts w:ascii="Times New Roman" w:hAnsi="Times New Roman" w:cs="Times New Roman"/>
          <w:sz w:val="24"/>
          <w:szCs w:val="24"/>
        </w:rPr>
        <w:t xml:space="preserve">s are responsible for </w:t>
      </w:r>
      <w:r w:rsidR="00414786" w:rsidRPr="00414786">
        <w:rPr>
          <w:rFonts w:ascii="Times New Roman" w:hAnsi="Times New Roman" w:cs="Times New Roman"/>
          <w:sz w:val="24"/>
          <w:szCs w:val="24"/>
        </w:rPr>
        <w:t>receiv</w:t>
      </w:r>
      <w:r w:rsidR="00414786">
        <w:rPr>
          <w:rFonts w:ascii="Times New Roman" w:hAnsi="Times New Roman" w:cs="Times New Roman"/>
          <w:sz w:val="24"/>
          <w:szCs w:val="24"/>
        </w:rPr>
        <w:t>ing</w:t>
      </w:r>
      <w:r w:rsidR="00414786" w:rsidRPr="00414786">
        <w:rPr>
          <w:rFonts w:ascii="Times New Roman" w:hAnsi="Times New Roman" w:cs="Times New Roman"/>
          <w:sz w:val="24"/>
          <w:szCs w:val="24"/>
        </w:rPr>
        <w:t xml:space="preserve"> and apportion</w:t>
      </w:r>
      <w:r w:rsidR="00414786">
        <w:rPr>
          <w:rFonts w:ascii="Times New Roman" w:hAnsi="Times New Roman" w:cs="Times New Roman"/>
          <w:sz w:val="24"/>
          <w:szCs w:val="24"/>
        </w:rPr>
        <w:t>ing</w:t>
      </w:r>
      <w:r w:rsidR="00414786" w:rsidRPr="00414786">
        <w:rPr>
          <w:rFonts w:ascii="Times New Roman" w:hAnsi="Times New Roman" w:cs="Times New Roman"/>
          <w:sz w:val="24"/>
          <w:szCs w:val="24"/>
        </w:rPr>
        <w:t xml:space="preserve"> </w:t>
      </w:r>
      <w:r w:rsidR="00414786">
        <w:rPr>
          <w:rFonts w:ascii="Times New Roman" w:hAnsi="Times New Roman" w:cs="Times New Roman"/>
          <w:sz w:val="24"/>
          <w:szCs w:val="24"/>
        </w:rPr>
        <w:t>Section 5307 fund</w:t>
      </w:r>
      <w:r>
        <w:rPr>
          <w:rFonts w:ascii="Times New Roman" w:hAnsi="Times New Roman" w:cs="Times New Roman"/>
          <w:sz w:val="24"/>
          <w:szCs w:val="24"/>
        </w:rPr>
        <w:t>s</w:t>
      </w:r>
      <w:r w:rsidR="00414786">
        <w:rPr>
          <w:rFonts w:ascii="Times New Roman" w:hAnsi="Times New Roman" w:cs="Times New Roman"/>
          <w:sz w:val="24"/>
          <w:szCs w:val="24"/>
        </w:rPr>
        <w:t xml:space="preserve"> among transit </w:t>
      </w:r>
      <w:r w:rsidR="0042777E">
        <w:rPr>
          <w:rFonts w:ascii="Times New Roman" w:hAnsi="Times New Roman" w:cs="Times New Roman"/>
          <w:sz w:val="24"/>
          <w:szCs w:val="24"/>
        </w:rPr>
        <w:t>provider</w:t>
      </w:r>
      <w:r w:rsidR="00414786">
        <w:rPr>
          <w:rFonts w:ascii="Times New Roman" w:hAnsi="Times New Roman" w:cs="Times New Roman"/>
          <w:sz w:val="24"/>
          <w:szCs w:val="24"/>
        </w:rPr>
        <w:t>s within a UZA</w:t>
      </w:r>
      <w:r>
        <w:rPr>
          <w:rFonts w:ascii="Times New Roman" w:hAnsi="Times New Roman" w:cs="Times New Roman"/>
          <w:sz w:val="24"/>
          <w:szCs w:val="24"/>
        </w:rPr>
        <w:t xml:space="preserve"> with more than 200,000 people</w:t>
      </w:r>
      <w:r w:rsidR="00414786">
        <w:rPr>
          <w:rFonts w:ascii="Times New Roman" w:hAnsi="Times New Roman" w:cs="Times New Roman"/>
          <w:sz w:val="24"/>
          <w:szCs w:val="24"/>
        </w:rPr>
        <w:t xml:space="preserve">. </w:t>
      </w:r>
      <w:r w:rsidR="003149E4">
        <w:rPr>
          <w:rFonts w:ascii="Times New Roman" w:hAnsi="Times New Roman" w:cs="Times New Roman"/>
          <w:sz w:val="24"/>
          <w:szCs w:val="24"/>
        </w:rPr>
        <w:t>W</w:t>
      </w:r>
      <w:r w:rsidR="00414786" w:rsidRPr="00414786">
        <w:rPr>
          <w:rFonts w:ascii="Times New Roman" w:hAnsi="Times New Roman" w:cs="Times New Roman"/>
          <w:sz w:val="24"/>
          <w:szCs w:val="24"/>
        </w:rPr>
        <w:t xml:space="preserve">hile the MPO develops and adopts the TIP, the </w:t>
      </w:r>
      <w:r w:rsidR="003149E4">
        <w:rPr>
          <w:rFonts w:ascii="Times New Roman" w:hAnsi="Times New Roman" w:cs="Times New Roman"/>
          <w:sz w:val="24"/>
          <w:szCs w:val="24"/>
        </w:rPr>
        <w:t xml:space="preserve">designated recipient </w:t>
      </w:r>
      <w:r w:rsidR="00414786" w:rsidRPr="00414786">
        <w:rPr>
          <w:rFonts w:ascii="Times New Roman" w:hAnsi="Times New Roman" w:cs="Times New Roman"/>
          <w:sz w:val="24"/>
          <w:szCs w:val="24"/>
        </w:rPr>
        <w:t>develop</w:t>
      </w:r>
      <w:r>
        <w:rPr>
          <w:rFonts w:ascii="Times New Roman" w:hAnsi="Times New Roman" w:cs="Times New Roman"/>
          <w:sz w:val="24"/>
          <w:szCs w:val="24"/>
        </w:rPr>
        <w:t>s</w:t>
      </w:r>
      <w:r w:rsidR="00414786" w:rsidRPr="00414786">
        <w:rPr>
          <w:rFonts w:ascii="Times New Roman" w:hAnsi="Times New Roman" w:cs="Times New Roman"/>
          <w:sz w:val="24"/>
          <w:szCs w:val="24"/>
        </w:rPr>
        <w:t xml:space="preserve"> the program of projects for </w:t>
      </w:r>
      <w:r>
        <w:rPr>
          <w:rFonts w:ascii="Times New Roman" w:hAnsi="Times New Roman" w:cs="Times New Roman"/>
          <w:sz w:val="24"/>
          <w:szCs w:val="24"/>
        </w:rPr>
        <w:t xml:space="preserve">spending </w:t>
      </w:r>
      <w:r w:rsidR="00414786" w:rsidRPr="00414786">
        <w:rPr>
          <w:rFonts w:ascii="Times New Roman" w:hAnsi="Times New Roman" w:cs="Times New Roman"/>
          <w:sz w:val="24"/>
          <w:szCs w:val="24"/>
        </w:rPr>
        <w:t xml:space="preserve">Section 5307 funds apportioned to </w:t>
      </w:r>
      <w:r w:rsidR="003149E4">
        <w:rPr>
          <w:rFonts w:ascii="Times New Roman" w:hAnsi="Times New Roman" w:cs="Times New Roman"/>
          <w:sz w:val="24"/>
          <w:szCs w:val="24"/>
        </w:rPr>
        <w:t>the UZA</w:t>
      </w:r>
      <w:r>
        <w:rPr>
          <w:rFonts w:ascii="Times New Roman" w:hAnsi="Times New Roman" w:cs="Times New Roman"/>
          <w:sz w:val="24"/>
          <w:szCs w:val="24"/>
        </w:rPr>
        <w:t xml:space="preserve">. Because </w:t>
      </w:r>
      <w:r w:rsidR="006722A7">
        <w:rPr>
          <w:rFonts w:ascii="Times New Roman" w:hAnsi="Times New Roman" w:cs="Times New Roman"/>
          <w:sz w:val="24"/>
          <w:szCs w:val="24"/>
        </w:rPr>
        <w:t xml:space="preserve">Section 5307 </w:t>
      </w:r>
      <w:r>
        <w:rPr>
          <w:rFonts w:ascii="Times New Roman" w:hAnsi="Times New Roman" w:cs="Times New Roman"/>
          <w:sz w:val="24"/>
          <w:szCs w:val="24"/>
        </w:rPr>
        <w:t xml:space="preserve">funds can be </w:t>
      </w:r>
      <w:r w:rsidR="006722A7">
        <w:rPr>
          <w:rFonts w:ascii="Times New Roman" w:hAnsi="Times New Roman" w:cs="Times New Roman"/>
          <w:sz w:val="24"/>
          <w:szCs w:val="24"/>
        </w:rPr>
        <w:t xml:space="preserve">spent only on </w:t>
      </w:r>
      <w:r>
        <w:rPr>
          <w:rFonts w:ascii="Times New Roman" w:hAnsi="Times New Roman" w:cs="Times New Roman"/>
          <w:sz w:val="24"/>
          <w:szCs w:val="24"/>
        </w:rPr>
        <w:t xml:space="preserve">projects </w:t>
      </w:r>
      <w:r w:rsidR="00414786" w:rsidRPr="00414786">
        <w:rPr>
          <w:rFonts w:ascii="Times New Roman" w:hAnsi="Times New Roman" w:cs="Times New Roman"/>
          <w:sz w:val="24"/>
          <w:szCs w:val="24"/>
        </w:rPr>
        <w:t>in the TIP</w:t>
      </w:r>
      <w:r w:rsidR="003149E4">
        <w:rPr>
          <w:rFonts w:ascii="Times New Roman" w:hAnsi="Times New Roman" w:cs="Times New Roman"/>
          <w:sz w:val="24"/>
          <w:szCs w:val="24"/>
        </w:rPr>
        <w:t xml:space="preserve">, the </w:t>
      </w:r>
      <w:r w:rsidR="00414786" w:rsidRPr="00414786">
        <w:rPr>
          <w:rFonts w:ascii="Times New Roman" w:hAnsi="Times New Roman" w:cs="Times New Roman"/>
          <w:sz w:val="24"/>
          <w:szCs w:val="24"/>
        </w:rPr>
        <w:t xml:space="preserve">MPO and </w:t>
      </w:r>
      <w:r w:rsidR="003149E4">
        <w:rPr>
          <w:rFonts w:ascii="Times New Roman" w:hAnsi="Times New Roman" w:cs="Times New Roman"/>
          <w:sz w:val="24"/>
          <w:szCs w:val="24"/>
        </w:rPr>
        <w:t xml:space="preserve">designated recipient </w:t>
      </w:r>
      <w:r>
        <w:rPr>
          <w:rFonts w:ascii="Times New Roman" w:hAnsi="Times New Roman" w:cs="Times New Roman"/>
          <w:sz w:val="24"/>
          <w:szCs w:val="24"/>
        </w:rPr>
        <w:t xml:space="preserve">must </w:t>
      </w:r>
      <w:r w:rsidR="00414786" w:rsidRPr="00414786">
        <w:rPr>
          <w:rFonts w:ascii="Times New Roman" w:hAnsi="Times New Roman" w:cs="Times New Roman"/>
          <w:sz w:val="24"/>
          <w:szCs w:val="24"/>
        </w:rPr>
        <w:t xml:space="preserve">work </w:t>
      </w:r>
      <w:r w:rsidR="006722A7">
        <w:rPr>
          <w:rFonts w:ascii="Times New Roman" w:hAnsi="Times New Roman" w:cs="Times New Roman"/>
          <w:sz w:val="24"/>
          <w:szCs w:val="24"/>
        </w:rPr>
        <w:t xml:space="preserve">in close </w:t>
      </w:r>
      <w:r w:rsidR="00414786" w:rsidRPr="00414786">
        <w:rPr>
          <w:rFonts w:ascii="Times New Roman" w:hAnsi="Times New Roman" w:cs="Times New Roman"/>
          <w:sz w:val="24"/>
          <w:szCs w:val="24"/>
        </w:rPr>
        <w:t>coo</w:t>
      </w:r>
      <w:r w:rsidR="006722A7">
        <w:rPr>
          <w:rFonts w:ascii="Times New Roman" w:hAnsi="Times New Roman" w:cs="Times New Roman"/>
          <w:sz w:val="24"/>
          <w:szCs w:val="24"/>
        </w:rPr>
        <w:t>rdination</w:t>
      </w:r>
      <w:r w:rsidR="00414786" w:rsidRPr="00414786">
        <w:rPr>
          <w:rFonts w:ascii="Times New Roman" w:hAnsi="Times New Roman" w:cs="Times New Roman"/>
          <w:sz w:val="24"/>
          <w:szCs w:val="24"/>
        </w:rPr>
        <w:t>.</w:t>
      </w:r>
      <w:r w:rsidR="008A5576">
        <w:rPr>
          <w:rFonts w:ascii="Times New Roman" w:hAnsi="Times New Roman" w:cs="Times New Roman"/>
          <w:sz w:val="24"/>
          <w:szCs w:val="24"/>
        </w:rPr>
        <w:t xml:space="preserve"> </w:t>
      </w:r>
      <w:hyperlink r:id="rId29" w:history="1">
        <w:r w:rsidR="008A5576" w:rsidRPr="008A5576">
          <w:rPr>
            <w:rStyle w:val="Hyperlink"/>
            <w:rFonts w:ascii="Times New Roman" w:hAnsi="Times New Roman" w:cs="Times New Roman"/>
            <w:sz w:val="24"/>
            <w:szCs w:val="24"/>
          </w:rPr>
          <w:t>FTA Circular 9030.1D</w:t>
        </w:r>
      </w:hyperlink>
      <w:r w:rsidR="008A5576">
        <w:rPr>
          <w:rFonts w:ascii="Times New Roman" w:hAnsi="Times New Roman" w:cs="Times New Roman"/>
          <w:sz w:val="24"/>
          <w:szCs w:val="24"/>
        </w:rPr>
        <w:t xml:space="preserve"> provides a detailed description of designated recipients, their selection, and their roles.</w:t>
      </w:r>
    </w:p>
    <w:p w:rsidR="00CF3764" w:rsidRPr="00CF3764" w:rsidRDefault="00CF3764" w:rsidP="00CF3764">
      <w:pPr>
        <w:spacing w:after="0"/>
        <w:rPr>
          <w:rFonts w:ascii="Times New Roman" w:hAnsi="Times New Roman" w:cs="Times New Roman"/>
          <w:b/>
          <w:sz w:val="24"/>
          <w:szCs w:val="24"/>
          <w:u w:val="single"/>
        </w:rPr>
      </w:pPr>
      <w:r w:rsidRPr="00CF3764">
        <w:rPr>
          <w:rFonts w:ascii="Times New Roman" w:hAnsi="Times New Roman" w:cs="Times New Roman"/>
          <w:b/>
          <w:sz w:val="24"/>
          <w:szCs w:val="24"/>
          <w:u w:val="single"/>
        </w:rPr>
        <w:t>Question #</w:t>
      </w:r>
      <w:r w:rsidR="007E5BCE">
        <w:rPr>
          <w:rFonts w:ascii="Times New Roman" w:hAnsi="Times New Roman" w:cs="Times New Roman"/>
          <w:b/>
          <w:sz w:val="24"/>
          <w:szCs w:val="24"/>
          <w:u w:val="single"/>
        </w:rPr>
        <w:t>1</w:t>
      </w:r>
      <w:r w:rsidR="006722A7">
        <w:rPr>
          <w:rFonts w:ascii="Times New Roman" w:hAnsi="Times New Roman" w:cs="Times New Roman"/>
          <w:b/>
          <w:sz w:val="24"/>
          <w:szCs w:val="24"/>
          <w:u w:val="single"/>
        </w:rPr>
        <w:t>3</w:t>
      </w:r>
      <w:r w:rsidRPr="00CF3764">
        <w:rPr>
          <w:rFonts w:ascii="Times New Roman" w:hAnsi="Times New Roman" w:cs="Times New Roman"/>
          <w:b/>
          <w:sz w:val="24"/>
          <w:szCs w:val="24"/>
          <w:u w:val="single"/>
        </w:rPr>
        <w:t>: What planning-related technical assistance is available for transit providers?</w:t>
      </w:r>
    </w:p>
    <w:p w:rsidR="00CF3764" w:rsidRPr="00F764E6" w:rsidRDefault="00CF3764" w:rsidP="00CF3764">
      <w:pPr>
        <w:spacing w:after="0"/>
        <w:rPr>
          <w:rFonts w:ascii="Times New Roman" w:hAnsi="Times New Roman" w:cs="Times New Roman"/>
          <w:sz w:val="24"/>
          <w:szCs w:val="24"/>
          <w:u w:val="single"/>
        </w:rPr>
      </w:pPr>
    </w:p>
    <w:p w:rsidR="00553397" w:rsidRDefault="00CF3764" w:rsidP="00553397">
      <w:pPr>
        <w:spacing w:after="0"/>
        <w:rPr>
          <w:rStyle w:val="Hyperlink"/>
          <w:rFonts w:ascii="Times New Roman" w:hAnsi="Times New Roman" w:cs="Times New Roman"/>
          <w:sz w:val="24"/>
          <w:szCs w:val="24"/>
        </w:rPr>
      </w:pPr>
      <w:r w:rsidRPr="00B0669D">
        <w:rPr>
          <w:rFonts w:ascii="Times New Roman" w:hAnsi="Times New Roman" w:cs="Times New Roman"/>
          <w:sz w:val="24"/>
          <w:szCs w:val="24"/>
        </w:rPr>
        <w:t>A comprehensive review of strategies for effective transit participation in metropolitan planning, along with potential benefits and illustrative case studies</w:t>
      </w:r>
      <w:r>
        <w:rPr>
          <w:rFonts w:ascii="Times New Roman" w:hAnsi="Times New Roman" w:cs="Times New Roman"/>
          <w:sz w:val="24"/>
          <w:szCs w:val="24"/>
        </w:rPr>
        <w:t>,</w:t>
      </w:r>
      <w:r w:rsidRPr="00B0669D">
        <w:rPr>
          <w:rFonts w:ascii="Times New Roman" w:hAnsi="Times New Roman" w:cs="Times New Roman"/>
          <w:sz w:val="24"/>
          <w:szCs w:val="24"/>
        </w:rPr>
        <w:t xml:space="preserve"> is described in FTA’s </w:t>
      </w:r>
      <w:r>
        <w:rPr>
          <w:rFonts w:ascii="Times New Roman" w:hAnsi="Times New Roman" w:cs="Times New Roman"/>
          <w:sz w:val="24"/>
          <w:szCs w:val="24"/>
        </w:rPr>
        <w:t>“</w:t>
      </w:r>
      <w:hyperlink r:id="rId30" w:history="1">
        <w:r w:rsidRPr="00B0669D">
          <w:rPr>
            <w:rStyle w:val="Hyperlink"/>
            <w:rFonts w:ascii="Times New Roman" w:hAnsi="Times New Roman" w:cs="Times New Roman"/>
            <w:sz w:val="24"/>
            <w:szCs w:val="24"/>
          </w:rPr>
          <w:t>Transit at the Table</w:t>
        </w:r>
      </w:hyperlink>
      <w:r>
        <w:rPr>
          <w:rFonts w:ascii="Times New Roman" w:hAnsi="Times New Roman" w:cs="Times New Roman"/>
          <w:sz w:val="24"/>
          <w:szCs w:val="24"/>
        </w:rPr>
        <w:t xml:space="preserve">” report series. Of particular interest to transit </w:t>
      </w:r>
      <w:r w:rsidR="0042777E">
        <w:rPr>
          <w:rFonts w:ascii="Times New Roman" w:hAnsi="Times New Roman" w:cs="Times New Roman"/>
          <w:sz w:val="24"/>
          <w:szCs w:val="24"/>
        </w:rPr>
        <w:t>provider</w:t>
      </w:r>
      <w:r>
        <w:rPr>
          <w:rFonts w:ascii="Times New Roman" w:hAnsi="Times New Roman" w:cs="Times New Roman"/>
          <w:sz w:val="24"/>
          <w:szCs w:val="24"/>
        </w:rPr>
        <w:t xml:space="preserve">s new to metropolitan planning is </w:t>
      </w:r>
      <w:r w:rsidRPr="00B0669D">
        <w:rPr>
          <w:rFonts w:ascii="Times New Roman" w:hAnsi="Times New Roman" w:cs="Times New Roman"/>
          <w:sz w:val="24"/>
          <w:szCs w:val="24"/>
        </w:rPr>
        <w:t>“</w:t>
      </w:r>
      <w:hyperlink r:id="rId31" w:history="1">
        <w:r w:rsidRPr="00B0669D">
          <w:rPr>
            <w:rStyle w:val="Hyperlink"/>
            <w:rFonts w:ascii="Times New Roman" w:hAnsi="Times New Roman" w:cs="Times New Roman"/>
            <w:sz w:val="24"/>
            <w:szCs w:val="24"/>
          </w:rPr>
          <w:t>Transit at the Table II</w:t>
        </w:r>
      </w:hyperlink>
      <w:r>
        <w:rPr>
          <w:rFonts w:ascii="Times New Roman" w:hAnsi="Times New Roman" w:cs="Times New Roman"/>
          <w:sz w:val="24"/>
          <w:szCs w:val="24"/>
        </w:rPr>
        <w:t>,</w:t>
      </w:r>
      <w:r w:rsidRPr="00B0669D">
        <w:rPr>
          <w:rFonts w:ascii="Times New Roman" w:hAnsi="Times New Roman" w:cs="Times New Roman"/>
          <w:sz w:val="24"/>
          <w:szCs w:val="24"/>
        </w:rPr>
        <w:t xml:space="preserve">” </w:t>
      </w:r>
      <w:r>
        <w:rPr>
          <w:rFonts w:ascii="Times New Roman" w:hAnsi="Times New Roman" w:cs="Times New Roman"/>
          <w:sz w:val="24"/>
          <w:szCs w:val="24"/>
        </w:rPr>
        <w:t>which provides transit-MPO case studies from the 2000 Census.</w:t>
      </w:r>
      <w:r w:rsidR="00553397">
        <w:rPr>
          <w:rFonts w:ascii="Times New Roman" w:hAnsi="Times New Roman" w:cs="Times New Roman"/>
          <w:sz w:val="24"/>
          <w:szCs w:val="24"/>
        </w:rPr>
        <w:t xml:space="preserve"> Further information is available on metropolitan planning and the involvement of transit providers through the joint </w:t>
      </w:r>
      <w:hyperlink r:id="rId32" w:history="1">
        <w:r w:rsidR="00553397" w:rsidRPr="00977D89">
          <w:rPr>
            <w:rStyle w:val="Hyperlink"/>
            <w:rFonts w:ascii="Times New Roman" w:hAnsi="Times New Roman" w:cs="Times New Roman"/>
            <w:sz w:val="24"/>
            <w:szCs w:val="24"/>
          </w:rPr>
          <w:t>FTA-FHWA Transportation Planning Capacity-Building program.</w:t>
        </w:r>
      </w:hyperlink>
    </w:p>
    <w:p w:rsidR="00553397" w:rsidRDefault="00553397" w:rsidP="00D73956">
      <w:pPr>
        <w:spacing w:after="0"/>
        <w:rPr>
          <w:rFonts w:ascii="Times New Roman" w:hAnsi="Times New Roman" w:cs="Times New Roman"/>
          <w:sz w:val="24"/>
          <w:szCs w:val="24"/>
        </w:rPr>
      </w:pPr>
    </w:p>
    <w:p w:rsidR="00CF3764" w:rsidRPr="004D3F26" w:rsidRDefault="00553397" w:rsidP="00553397">
      <w:pPr>
        <w:rPr>
          <w:rFonts w:ascii="Times New Roman" w:hAnsi="Times New Roman" w:cs="Times New Roman"/>
          <w:sz w:val="24"/>
          <w:szCs w:val="24"/>
        </w:rPr>
      </w:pPr>
      <w:r>
        <w:rPr>
          <w:rFonts w:ascii="Times New Roman" w:hAnsi="Times New Roman" w:cs="Times New Roman"/>
          <w:sz w:val="24"/>
          <w:szCs w:val="24"/>
        </w:rPr>
        <w:t xml:space="preserve">FTA is committed to providing technical assistance and support to our </w:t>
      </w:r>
      <w:r w:rsidR="00B75ED8">
        <w:rPr>
          <w:rFonts w:ascii="Times New Roman" w:hAnsi="Times New Roman" w:cs="Times New Roman"/>
          <w:sz w:val="24"/>
          <w:szCs w:val="24"/>
        </w:rPr>
        <w:t xml:space="preserve">transit provider </w:t>
      </w:r>
      <w:r>
        <w:rPr>
          <w:rFonts w:ascii="Times New Roman" w:hAnsi="Times New Roman" w:cs="Times New Roman"/>
          <w:sz w:val="24"/>
          <w:szCs w:val="24"/>
        </w:rPr>
        <w:t>partners. Please contact us if you need any assistance. We are available to provide training and technical support to help form and sustain productive planning partnerships between the transit providers, local agencies, MPOs and the States.</w:t>
      </w:r>
    </w:p>
    <w:sectPr w:rsidR="00CF3764" w:rsidRPr="004D3F26">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5B6" w:rsidRDefault="001855B6" w:rsidP="00BE0B9F">
      <w:pPr>
        <w:spacing w:after="0" w:line="240" w:lineRule="auto"/>
      </w:pPr>
      <w:r>
        <w:separator/>
      </w:r>
    </w:p>
  </w:endnote>
  <w:endnote w:type="continuationSeparator" w:id="0">
    <w:p w:rsidR="001855B6" w:rsidRDefault="001855B6" w:rsidP="00BE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5B6" w:rsidRDefault="001855B6" w:rsidP="00BE0B9F">
      <w:pPr>
        <w:spacing w:after="0" w:line="240" w:lineRule="auto"/>
      </w:pPr>
      <w:r>
        <w:separator/>
      </w:r>
    </w:p>
  </w:footnote>
  <w:footnote w:type="continuationSeparator" w:id="0">
    <w:p w:rsidR="001855B6" w:rsidRDefault="001855B6" w:rsidP="00BE0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8F" w:rsidRDefault="0080448F" w:rsidP="008461F0">
    <w:pPr>
      <w:pStyle w:val="Header"/>
    </w:pPr>
  </w:p>
  <w:p w:rsidR="008461F0" w:rsidRPr="008461F0" w:rsidRDefault="008461F0" w:rsidP="00846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AF8"/>
    <w:multiLevelType w:val="hybridMultilevel"/>
    <w:tmpl w:val="579EAE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63106"/>
    <w:multiLevelType w:val="hybridMultilevel"/>
    <w:tmpl w:val="B164F08E"/>
    <w:lvl w:ilvl="0" w:tplc="924A9CD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36876"/>
    <w:multiLevelType w:val="hybridMultilevel"/>
    <w:tmpl w:val="ACD01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C057E"/>
    <w:multiLevelType w:val="hybridMultilevel"/>
    <w:tmpl w:val="E724D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BF0A51"/>
    <w:multiLevelType w:val="hybridMultilevel"/>
    <w:tmpl w:val="BCE05A9E"/>
    <w:lvl w:ilvl="0" w:tplc="0680B4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E709C7"/>
    <w:multiLevelType w:val="hybridMultilevel"/>
    <w:tmpl w:val="9810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E41C32"/>
    <w:multiLevelType w:val="hybridMultilevel"/>
    <w:tmpl w:val="E6749F7C"/>
    <w:lvl w:ilvl="0" w:tplc="CCF6933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0F4C61"/>
    <w:multiLevelType w:val="hybridMultilevel"/>
    <w:tmpl w:val="5CCC9A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CD45118"/>
    <w:multiLevelType w:val="hybridMultilevel"/>
    <w:tmpl w:val="83EA27E6"/>
    <w:lvl w:ilvl="0" w:tplc="D39A72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507402"/>
    <w:multiLevelType w:val="hybridMultilevel"/>
    <w:tmpl w:val="9C2C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FF1540"/>
    <w:multiLevelType w:val="hybridMultilevel"/>
    <w:tmpl w:val="8FBEEDD8"/>
    <w:lvl w:ilvl="0" w:tplc="9D3CB0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087816"/>
    <w:multiLevelType w:val="hybridMultilevel"/>
    <w:tmpl w:val="2E62ED72"/>
    <w:lvl w:ilvl="0" w:tplc="73B43F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894345"/>
    <w:multiLevelType w:val="hybridMultilevel"/>
    <w:tmpl w:val="9960A898"/>
    <w:lvl w:ilvl="0" w:tplc="AB00CEE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364408"/>
    <w:multiLevelType w:val="hybridMultilevel"/>
    <w:tmpl w:val="D44C2056"/>
    <w:lvl w:ilvl="0" w:tplc="03E6CD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DD6F29"/>
    <w:multiLevelType w:val="hybridMultilevel"/>
    <w:tmpl w:val="F0126B94"/>
    <w:lvl w:ilvl="0" w:tplc="ED2440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36430F"/>
    <w:multiLevelType w:val="hybridMultilevel"/>
    <w:tmpl w:val="0502930A"/>
    <w:lvl w:ilvl="0" w:tplc="9886E398">
      <w:start w:val="1"/>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BA5F7A"/>
    <w:multiLevelType w:val="hybridMultilevel"/>
    <w:tmpl w:val="2D346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0853920"/>
    <w:multiLevelType w:val="hybridMultilevel"/>
    <w:tmpl w:val="683A1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D02903"/>
    <w:multiLevelType w:val="hybridMultilevel"/>
    <w:tmpl w:val="246E1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60245B0"/>
    <w:multiLevelType w:val="hybridMultilevel"/>
    <w:tmpl w:val="59DE1E82"/>
    <w:lvl w:ilvl="0" w:tplc="B322C77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76626C"/>
    <w:multiLevelType w:val="hybridMultilevel"/>
    <w:tmpl w:val="96908014"/>
    <w:lvl w:ilvl="0" w:tplc="CC08C4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722EB9"/>
    <w:multiLevelType w:val="hybridMultilevel"/>
    <w:tmpl w:val="48AC69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5E613D"/>
    <w:multiLevelType w:val="hybridMultilevel"/>
    <w:tmpl w:val="7E24CF80"/>
    <w:lvl w:ilvl="0" w:tplc="B322C77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E17043"/>
    <w:multiLevelType w:val="hybridMultilevel"/>
    <w:tmpl w:val="0DC0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22528"/>
    <w:multiLevelType w:val="hybridMultilevel"/>
    <w:tmpl w:val="3F46B5D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DAA1570"/>
    <w:multiLevelType w:val="hybridMultilevel"/>
    <w:tmpl w:val="ECD2D5AA"/>
    <w:lvl w:ilvl="0" w:tplc="82600C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315B17"/>
    <w:multiLevelType w:val="hybridMultilevel"/>
    <w:tmpl w:val="2A62367A"/>
    <w:lvl w:ilvl="0" w:tplc="CCF69330">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E4C5A51"/>
    <w:multiLevelType w:val="hybridMultilevel"/>
    <w:tmpl w:val="B3F44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8A7107"/>
    <w:multiLevelType w:val="hybridMultilevel"/>
    <w:tmpl w:val="185E36A2"/>
    <w:lvl w:ilvl="0" w:tplc="73EEE73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F8B359A"/>
    <w:multiLevelType w:val="hybridMultilevel"/>
    <w:tmpl w:val="1E5AD82C"/>
    <w:lvl w:ilvl="0" w:tplc="B322C77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EA7F98"/>
    <w:multiLevelType w:val="hybridMultilevel"/>
    <w:tmpl w:val="9DE0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91071E"/>
    <w:multiLevelType w:val="hybridMultilevel"/>
    <w:tmpl w:val="B7E4350E"/>
    <w:lvl w:ilvl="0" w:tplc="191EDD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E665CE"/>
    <w:multiLevelType w:val="hybridMultilevel"/>
    <w:tmpl w:val="9BB4D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B1A09EA"/>
    <w:multiLevelType w:val="hybridMultilevel"/>
    <w:tmpl w:val="BFBC1B38"/>
    <w:lvl w:ilvl="0" w:tplc="0680B4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FD088B"/>
    <w:multiLevelType w:val="hybridMultilevel"/>
    <w:tmpl w:val="BD3A0DC4"/>
    <w:lvl w:ilvl="0" w:tplc="358CB448">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1E586E"/>
    <w:multiLevelType w:val="hybridMultilevel"/>
    <w:tmpl w:val="8110A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E586E07"/>
    <w:multiLevelType w:val="hybridMultilevel"/>
    <w:tmpl w:val="E4ECB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25866DD"/>
    <w:multiLevelType w:val="hybridMultilevel"/>
    <w:tmpl w:val="E6A83CB6"/>
    <w:lvl w:ilvl="0" w:tplc="B322C77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E03C8C"/>
    <w:multiLevelType w:val="hybridMultilevel"/>
    <w:tmpl w:val="3FFCFB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410597F"/>
    <w:multiLevelType w:val="hybridMultilevel"/>
    <w:tmpl w:val="DAEA0200"/>
    <w:lvl w:ilvl="0" w:tplc="CA04B8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63930F3"/>
    <w:multiLevelType w:val="hybridMultilevel"/>
    <w:tmpl w:val="68F859A8"/>
    <w:lvl w:ilvl="0" w:tplc="53380B74">
      <w:start w:val="1"/>
      <w:numFmt w:val="decimal"/>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5C286B"/>
    <w:multiLevelType w:val="hybridMultilevel"/>
    <w:tmpl w:val="14E4F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A5F5540"/>
    <w:multiLevelType w:val="hybridMultilevel"/>
    <w:tmpl w:val="F87AF6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B7E781D"/>
    <w:multiLevelType w:val="hybridMultilevel"/>
    <w:tmpl w:val="69C89FEA"/>
    <w:lvl w:ilvl="0" w:tplc="CCF6933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217267"/>
    <w:multiLevelType w:val="hybridMultilevel"/>
    <w:tmpl w:val="D8387C1E"/>
    <w:lvl w:ilvl="0" w:tplc="1834FF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0910D12"/>
    <w:multiLevelType w:val="hybridMultilevel"/>
    <w:tmpl w:val="3746D894"/>
    <w:lvl w:ilvl="0" w:tplc="9A38E0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7E6097"/>
    <w:multiLevelType w:val="hybridMultilevel"/>
    <w:tmpl w:val="A524EB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2C17575"/>
    <w:multiLevelType w:val="hybridMultilevel"/>
    <w:tmpl w:val="CB262D3C"/>
    <w:lvl w:ilvl="0" w:tplc="0680B4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3B57F49"/>
    <w:multiLevelType w:val="hybridMultilevel"/>
    <w:tmpl w:val="E9BA400C"/>
    <w:lvl w:ilvl="0" w:tplc="411C4260">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1143F8"/>
    <w:multiLevelType w:val="hybridMultilevel"/>
    <w:tmpl w:val="3F5C3DF4"/>
    <w:lvl w:ilvl="0" w:tplc="04090015">
      <w:start w:val="1"/>
      <w:numFmt w:val="upperLetter"/>
      <w:lvlText w:val="%1."/>
      <w:lvlJc w:val="left"/>
      <w:pPr>
        <w:ind w:left="870" w:hanging="360"/>
      </w:pPr>
      <w:rPr>
        <w:rFonts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0">
    <w:nsid w:val="5540408D"/>
    <w:multiLevelType w:val="hybridMultilevel"/>
    <w:tmpl w:val="45149020"/>
    <w:lvl w:ilvl="0" w:tplc="B322C77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4E35C5"/>
    <w:multiLevelType w:val="hybridMultilevel"/>
    <w:tmpl w:val="2D8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7546BF5"/>
    <w:multiLevelType w:val="hybridMultilevel"/>
    <w:tmpl w:val="D5E095B2"/>
    <w:lvl w:ilvl="0" w:tplc="2DBA812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8D2367D"/>
    <w:multiLevelType w:val="hybridMultilevel"/>
    <w:tmpl w:val="70D28168"/>
    <w:lvl w:ilvl="0" w:tplc="5D96B1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9722CB3"/>
    <w:multiLevelType w:val="hybridMultilevel"/>
    <w:tmpl w:val="0DC0D516"/>
    <w:lvl w:ilvl="0" w:tplc="B322C77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B32B3F"/>
    <w:multiLevelType w:val="hybridMultilevel"/>
    <w:tmpl w:val="AFD2A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CD17753"/>
    <w:multiLevelType w:val="hybridMultilevel"/>
    <w:tmpl w:val="A6129744"/>
    <w:lvl w:ilvl="0" w:tplc="76F06A0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D2363F5"/>
    <w:multiLevelType w:val="hybridMultilevel"/>
    <w:tmpl w:val="E31C5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DFD0816"/>
    <w:multiLevelType w:val="hybridMultilevel"/>
    <w:tmpl w:val="CF9C35FE"/>
    <w:lvl w:ilvl="0" w:tplc="1D2CA12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122584"/>
    <w:multiLevelType w:val="hybridMultilevel"/>
    <w:tmpl w:val="CF8E3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0AA19C7"/>
    <w:multiLevelType w:val="hybridMultilevel"/>
    <w:tmpl w:val="AF1C361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5302B26"/>
    <w:multiLevelType w:val="hybridMultilevel"/>
    <w:tmpl w:val="0A66393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86400EB"/>
    <w:multiLevelType w:val="hybridMultilevel"/>
    <w:tmpl w:val="99C2233A"/>
    <w:lvl w:ilvl="0" w:tplc="0680B4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9B920E3"/>
    <w:multiLevelType w:val="hybridMultilevel"/>
    <w:tmpl w:val="996E9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CD905FF"/>
    <w:multiLevelType w:val="hybridMultilevel"/>
    <w:tmpl w:val="523E9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0780A10"/>
    <w:multiLevelType w:val="hybridMultilevel"/>
    <w:tmpl w:val="3AFC6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2E22A29"/>
    <w:multiLevelType w:val="hybridMultilevel"/>
    <w:tmpl w:val="1E60AEE0"/>
    <w:lvl w:ilvl="0" w:tplc="0680B442">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33A5903"/>
    <w:multiLevelType w:val="hybridMultilevel"/>
    <w:tmpl w:val="15A0E9C6"/>
    <w:lvl w:ilvl="0" w:tplc="814CE3AC">
      <w:start w:val="4"/>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3FE288D"/>
    <w:multiLevelType w:val="hybridMultilevel"/>
    <w:tmpl w:val="40D81088"/>
    <w:lvl w:ilvl="0" w:tplc="CA7A5F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7734B2A"/>
    <w:multiLevelType w:val="hybridMultilevel"/>
    <w:tmpl w:val="EDBCDEDE"/>
    <w:lvl w:ilvl="0" w:tplc="EE2A68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E1322A"/>
    <w:multiLevelType w:val="hybridMultilevel"/>
    <w:tmpl w:val="6938036E"/>
    <w:lvl w:ilvl="0" w:tplc="CCF6933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553316"/>
    <w:multiLevelType w:val="hybridMultilevel"/>
    <w:tmpl w:val="BCF8FC68"/>
    <w:lvl w:ilvl="0" w:tplc="D376170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E257BB"/>
    <w:multiLevelType w:val="hybridMultilevel"/>
    <w:tmpl w:val="3D1A6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78FC3E88"/>
    <w:multiLevelType w:val="hybridMultilevel"/>
    <w:tmpl w:val="324C1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BCB7EE7"/>
    <w:multiLevelType w:val="hybridMultilevel"/>
    <w:tmpl w:val="FF340D1C"/>
    <w:lvl w:ilvl="0" w:tplc="0680B44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D7C5BAC"/>
    <w:multiLevelType w:val="hybridMultilevel"/>
    <w:tmpl w:val="AD68DBBC"/>
    <w:lvl w:ilvl="0" w:tplc="53380B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DB72305"/>
    <w:multiLevelType w:val="hybridMultilevel"/>
    <w:tmpl w:val="410CFA16"/>
    <w:lvl w:ilvl="0" w:tplc="0680B4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F291C11"/>
    <w:multiLevelType w:val="hybridMultilevel"/>
    <w:tmpl w:val="B7D0576A"/>
    <w:lvl w:ilvl="0" w:tplc="8A8C9C0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7"/>
  </w:num>
  <w:num w:numId="4">
    <w:abstractNumId w:val="61"/>
  </w:num>
  <w:num w:numId="5">
    <w:abstractNumId w:val="49"/>
  </w:num>
  <w:num w:numId="6">
    <w:abstractNumId w:val="75"/>
  </w:num>
  <w:num w:numId="7">
    <w:abstractNumId w:val="40"/>
  </w:num>
  <w:num w:numId="8">
    <w:abstractNumId w:val="8"/>
  </w:num>
  <w:num w:numId="9">
    <w:abstractNumId w:val="18"/>
  </w:num>
  <w:num w:numId="10">
    <w:abstractNumId w:val="35"/>
  </w:num>
  <w:num w:numId="11">
    <w:abstractNumId w:val="25"/>
  </w:num>
  <w:num w:numId="12">
    <w:abstractNumId w:val="13"/>
  </w:num>
  <w:num w:numId="13">
    <w:abstractNumId w:val="11"/>
  </w:num>
  <w:num w:numId="14">
    <w:abstractNumId w:val="53"/>
  </w:num>
  <w:num w:numId="15">
    <w:abstractNumId w:val="34"/>
  </w:num>
  <w:num w:numId="16">
    <w:abstractNumId w:val="39"/>
  </w:num>
  <w:num w:numId="17">
    <w:abstractNumId w:val="23"/>
  </w:num>
  <w:num w:numId="18">
    <w:abstractNumId w:val="52"/>
  </w:num>
  <w:num w:numId="19">
    <w:abstractNumId w:val="65"/>
  </w:num>
  <w:num w:numId="20">
    <w:abstractNumId w:val="26"/>
  </w:num>
  <w:num w:numId="21">
    <w:abstractNumId w:val="6"/>
  </w:num>
  <w:num w:numId="22">
    <w:abstractNumId w:val="43"/>
  </w:num>
  <w:num w:numId="23">
    <w:abstractNumId w:val="70"/>
  </w:num>
  <w:num w:numId="24">
    <w:abstractNumId w:val="37"/>
  </w:num>
  <w:num w:numId="25">
    <w:abstractNumId w:val="19"/>
  </w:num>
  <w:num w:numId="26">
    <w:abstractNumId w:val="22"/>
  </w:num>
  <w:num w:numId="27">
    <w:abstractNumId w:val="29"/>
  </w:num>
  <w:num w:numId="28">
    <w:abstractNumId w:val="50"/>
  </w:num>
  <w:num w:numId="29">
    <w:abstractNumId w:val="54"/>
  </w:num>
  <w:num w:numId="30">
    <w:abstractNumId w:val="44"/>
  </w:num>
  <w:num w:numId="31">
    <w:abstractNumId w:val="48"/>
  </w:num>
  <w:num w:numId="32">
    <w:abstractNumId w:val="3"/>
  </w:num>
  <w:num w:numId="33">
    <w:abstractNumId w:val="45"/>
  </w:num>
  <w:num w:numId="34">
    <w:abstractNumId w:val="15"/>
  </w:num>
  <w:num w:numId="35">
    <w:abstractNumId w:val="51"/>
  </w:num>
  <w:num w:numId="36">
    <w:abstractNumId w:val="5"/>
  </w:num>
  <w:num w:numId="37">
    <w:abstractNumId w:val="14"/>
  </w:num>
  <w:num w:numId="38">
    <w:abstractNumId w:val="41"/>
  </w:num>
  <w:num w:numId="39">
    <w:abstractNumId w:val="12"/>
  </w:num>
  <w:num w:numId="40">
    <w:abstractNumId w:val="30"/>
  </w:num>
  <w:num w:numId="41">
    <w:abstractNumId w:val="57"/>
  </w:num>
  <w:num w:numId="42">
    <w:abstractNumId w:val="68"/>
  </w:num>
  <w:num w:numId="43">
    <w:abstractNumId w:val="0"/>
  </w:num>
  <w:num w:numId="44">
    <w:abstractNumId w:val="21"/>
  </w:num>
  <w:num w:numId="45">
    <w:abstractNumId w:val="24"/>
  </w:num>
  <w:num w:numId="46">
    <w:abstractNumId w:val="64"/>
  </w:num>
  <w:num w:numId="47">
    <w:abstractNumId w:val="16"/>
  </w:num>
  <w:num w:numId="48">
    <w:abstractNumId w:val="60"/>
  </w:num>
  <w:num w:numId="49">
    <w:abstractNumId w:val="67"/>
  </w:num>
  <w:num w:numId="50">
    <w:abstractNumId w:val="72"/>
  </w:num>
  <w:num w:numId="51">
    <w:abstractNumId w:val="55"/>
  </w:num>
  <w:num w:numId="52">
    <w:abstractNumId w:val="2"/>
  </w:num>
  <w:num w:numId="53">
    <w:abstractNumId w:val="46"/>
  </w:num>
  <w:num w:numId="54">
    <w:abstractNumId w:val="69"/>
  </w:num>
  <w:num w:numId="55">
    <w:abstractNumId w:val="56"/>
  </w:num>
  <w:num w:numId="56">
    <w:abstractNumId w:val="77"/>
  </w:num>
  <w:num w:numId="57">
    <w:abstractNumId w:val="1"/>
  </w:num>
  <w:num w:numId="58">
    <w:abstractNumId w:val="58"/>
  </w:num>
  <w:num w:numId="59">
    <w:abstractNumId w:val="20"/>
  </w:num>
  <w:num w:numId="60">
    <w:abstractNumId w:val="28"/>
  </w:num>
  <w:num w:numId="61">
    <w:abstractNumId w:val="10"/>
  </w:num>
  <w:num w:numId="62">
    <w:abstractNumId w:val="71"/>
  </w:num>
  <w:num w:numId="63">
    <w:abstractNumId w:val="74"/>
  </w:num>
  <w:num w:numId="64">
    <w:abstractNumId w:val="42"/>
  </w:num>
  <w:num w:numId="65">
    <w:abstractNumId w:val="66"/>
  </w:num>
  <w:num w:numId="66">
    <w:abstractNumId w:val="32"/>
  </w:num>
  <w:num w:numId="67">
    <w:abstractNumId w:val="33"/>
  </w:num>
  <w:num w:numId="68">
    <w:abstractNumId w:val="62"/>
  </w:num>
  <w:num w:numId="69">
    <w:abstractNumId w:val="47"/>
  </w:num>
  <w:num w:numId="70">
    <w:abstractNumId w:val="4"/>
  </w:num>
  <w:num w:numId="71">
    <w:abstractNumId w:val="76"/>
  </w:num>
  <w:num w:numId="72">
    <w:abstractNumId w:val="31"/>
  </w:num>
  <w:num w:numId="73">
    <w:abstractNumId w:val="63"/>
  </w:num>
  <w:num w:numId="74">
    <w:abstractNumId w:val="73"/>
  </w:num>
  <w:num w:numId="75">
    <w:abstractNumId w:val="59"/>
  </w:num>
  <w:num w:numId="76">
    <w:abstractNumId w:val="7"/>
  </w:num>
  <w:num w:numId="77">
    <w:abstractNumId w:val="38"/>
  </w:num>
  <w:num w:numId="78">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1F"/>
    <w:rsid w:val="00000872"/>
    <w:rsid w:val="000026E6"/>
    <w:rsid w:val="00004470"/>
    <w:rsid w:val="00010453"/>
    <w:rsid w:val="00012550"/>
    <w:rsid w:val="000132D4"/>
    <w:rsid w:val="000161CD"/>
    <w:rsid w:val="00016BF1"/>
    <w:rsid w:val="000200A9"/>
    <w:rsid w:val="000207E9"/>
    <w:rsid w:val="00024211"/>
    <w:rsid w:val="00026D8E"/>
    <w:rsid w:val="00030525"/>
    <w:rsid w:val="00032014"/>
    <w:rsid w:val="0003392E"/>
    <w:rsid w:val="00040CE9"/>
    <w:rsid w:val="00044297"/>
    <w:rsid w:val="000445DC"/>
    <w:rsid w:val="000462D4"/>
    <w:rsid w:val="000532B7"/>
    <w:rsid w:val="0006036A"/>
    <w:rsid w:val="00060CB2"/>
    <w:rsid w:val="00062CAF"/>
    <w:rsid w:val="000641BF"/>
    <w:rsid w:val="000644B4"/>
    <w:rsid w:val="00066E61"/>
    <w:rsid w:val="00067722"/>
    <w:rsid w:val="00067A30"/>
    <w:rsid w:val="00074275"/>
    <w:rsid w:val="0007498D"/>
    <w:rsid w:val="000754FA"/>
    <w:rsid w:val="00076005"/>
    <w:rsid w:val="000825DD"/>
    <w:rsid w:val="000856CD"/>
    <w:rsid w:val="00086EBE"/>
    <w:rsid w:val="00091D59"/>
    <w:rsid w:val="000936FB"/>
    <w:rsid w:val="00093D15"/>
    <w:rsid w:val="000941A0"/>
    <w:rsid w:val="00095956"/>
    <w:rsid w:val="000A6566"/>
    <w:rsid w:val="000B028B"/>
    <w:rsid w:val="000B4062"/>
    <w:rsid w:val="000B50EB"/>
    <w:rsid w:val="000B5C3A"/>
    <w:rsid w:val="000B5C66"/>
    <w:rsid w:val="000C4AFB"/>
    <w:rsid w:val="000C61DA"/>
    <w:rsid w:val="000D0D93"/>
    <w:rsid w:val="000D25D2"/>
    <w:rsid w:val="000E022B"/>
    <w:rsid w:val="000E26D1"/>
    <w:rsid w:val="000E3720"/>
    <w:rsid w:val="000E44EB"/>
    <w:rsid w:val="000F1D04"/>
    <w:rsid w:val="000F1F5F"/>
    <w:rsid w:val="000F35E3"/>
    <w:rsid w:val="000F4E1F"/>
    <w:rsid w:val="001025A0"/>
    <w:rsid w:val="00103D83"/>
    <w:rsid w:val="00104C1E"/>
    <w:rsid w:val="00105A8A"/>
    <w:rsid w:val="001076E0"/>
    <w:rsid w:val="001159FF"/>
    <w:rsid w:val="00115B84"/>
    <w:rsid w:val="00117480"/>
    <w:rsid w:val="00117BDA"/>
    <w:rsid w:val="0012286C"/>
    <w:rsid w:val="0012375F"/>
    <w:rsid w:val="00124E08"/>
    <w:rsid w:val="00127B46"/>
    <w:rsid w:val="0013022D"/>
    <w:rsid w:val="00133071"/>
    <w:rsid w:val="0013579D"/>
    <w:rsid w:val="00135BAB"/>
    <w:rsid w:val="00143C35"/>
    <w:rsid w:val="00145758"/>
    <w:rsid w:val="00145D50"/>
    <w:rsid w:val="00155A24"/>
    <w:rsid w:val="00155CD4"/>
    <w:rsid w:val="001560A8"/>
    <w:rsid w:val="00156D7C"/>
    <w:rsid w:val="00160179"/>
    <w:rsid w:val="00163BB6"/>
    <w:rsid w:val="00167641"/>
    <w:rsid w:val="00170D9F"/>
    <w:rsid w:val="00171026"/>
    <w:rsid w:val="00171BA3"/>
    <w:rsid w:val="0017360D"/>
    <w:rsid w:val="001816BE"/>
    <w:rsid w:val="001821BA"/>
    <w:rsid w:val="001855B6"/>
    <w:rsid w:val="00185ED9"/>
    <w:rsid w:val="0018624B"/>
    <w:rsid w:val="0018659D"/>
    <w:rsid w:val="0018790A"/>
    <w:rsid w:val="00190FB0"/>
    <w:rsid w:val="00194546"/>
    <w:rsid w:val="00196FA3"/>
    <w:rsid w:val="001A33D4"/>
    <w:rsid w:val="001A4000"/>
    <w:rsid w:val="001B10EC"/>
    <w:rsid w:val="001B19ED"/>
    <w:rsid w:val="001B3379"/>
    <w:rsid w:val="001B460C"/>
    <w:rsid w:val="001B6507"/>
    <w:rsid w:val="001C079B"/>
    <w:rsid w:val="001C1F89"/>
    <w:rsid w:val="001C395E"/>
    <w:rsid w:val="001C4B78"/>
    <w:rsid w:val="001D1593"/>
    <w:rsid w:val="001D2C1C"/>
    <w:rsid w:val="001D4AC3"/>
    <w:rsid w:val="001D5CFA"/>
    <w:rsid w:val="001D6B55"/>
    <w:rsid w:val="001E1CC5"/>
    <w:rsid w:val="001E5445"/>
    <w:rsid w:val="001E76EC"/>
    <w:rsid w:val="001F1E59"/>
    <w:rsid w:val="001F23D6"/>
    <w:rsid w:val="001F4F0C"/>
    <w:rsid w:val="001F6E83"/>
    <w:rsid w:val="00201A8B"/>
    <w:rsid w:val="00201FAC"/>
    <w:rsid w:val="00223BB2"/>
    <w:rsid w:val="00231963"/>
    <w:rsid w:val="00233FBB"/>
    <w:rsid w:val="00234661"/>
    <w:rsid w:val="0024053D"/>
    <w:rsid w:val="002409E3"/>
    <w:rsid w:val="00241EE2"/>
    <w:rsid w:val="0024207D"/>
    <w:rsid w:val="002422C9"/>
    <w:rsid w:val="00244D82"/>
    <w:rsid w:val="0025367A"/>
    <w:rsid w:val="00254894"/>
    <w:rsid w:val="00254D11"/>
    <w:rsid w:val="00255C5C"/>
    <w:rsid w:val="00261143"/>
    <w:rsid w:val="00264050"/>
    <w:rsid w:val="00264DCF"/>
    <w:rsid w:val="00270513"/>
    <w:rsid w:val="00276D1A"/>
    <w:rsid w:val="00283253"/>
    <w:rsid w:val="002845EE"/>
    <w:rsid w:val="00284D27"/>
    <w:rsid w:val="002864AB"/>
    <w:rsid w:val="002923D9"/>
    <w:rsid w:val="00297BE8"/>
    <w:rsid w:val="002A4554"/>
    <w:rsid w:val="002B2435"/>
    <w:rsid w:val="002B4163"/>
    <w:rsid w:val="002B5A9B"/>
    <w:rsid w:val="002B5FEC"/>
    <w:rsid w:val="002B6114"/>
    <w:rsid w:val="002B6C6B"/>
    <w:rsid w:val="002B7144"/>
    <w:rsid w:val="002C17C2"/>
    <w:rsid w:val="002C4F5F"/>
    <w:rsid w:val="002C59CC"/>
    <w:rsid w:val="002C6FBF"/>
    <w:rsid w:val="002D3C0E"/>
    <w:rsid w:val="002D3E29"/>
    <w:rsid w:val="002D4A1D"/>
    <w:rsid w:val="002D6CD0"/>
    <w:rsid w:val="002D7AAF"/>
    <w:rsid w:val="002E23DE"/>
    <w:rsid w:val="002E2F1F"/>
    <w:rsid w:val="002E2F59"/>
    <w:rsid w:val="002E3628"/>
    <w:rsid w:val="002E4727"/>
    <w:rsid w:val="002E4818"/>
    <w:rsid w:val="002E5325"/>
    <w:rsid w:val="002E5C49"/>
    <w:rsid w:val="002E6DD5"/>
    <w:rsid w:val="002F0137"/>
    <w:rsid w:val="002F25AD"/>
    <w:rsid w:val="002F397C"/>
    <w:rsid w:val="002F3D06"/>
    <w:rsid w:val="002F52E4"/>
    <w:rsid w:val="002F5E26"/>
    <w:rsid w:val="002F6398"/>
    <w:rsid w:val="002F6E80"/>
    <w:rsid w:val="0030184D"/>
    <w:rsid w:val="003020ED"/>
    <w:rsid w:val="00303751"/>
    <w:rsid w:val="00307EE8"/>
    <w:rsid w:val="0031030A"/>
    <w:rsid w:val="00313350"/>
    <w:rsid w:val="003149E4"/>
    <w:rsid w:val="00316A87"/>
    <w:rsid w:val="00332859"/>
    <w:rsid w:val="003336DC"/>
    <w:rsid w:val="00336593"/>
    <w:rsid w:val="0033742D"/>
    <w:rsid w:val="003420A8"/>
    <w:rsid w:val="0034397D"/>
    <w:rsid w:val="0035258F"/>
    <w:rsid w:val="00353466"/>
    <w:rsid w:val="003555E3"/>
    <w:rsid w:val="00356B96"/>
    <w:rsid w:val="003576AD"/>
    <w:rsid w:val="003622C5"/>
    <w:rsid w:val="0036523A"/>
    <w:rsid w:val="00367CC1"/>
    <w:rsid w:val="00372BB3"/>
    <w:rsid w:val="00375AF2"/>
    <w:rsid w:val="003817B1"/>
    <w:rsid w:val="0038603D"/>
    <w:rsid w:val="00387F74"/>
    <w:rsid w:val="00392199"/>
    <w:rsid w:val="00393CC0"/>
    <w:rsid w:val="003955AB"/>
    <w:rsid w:val="00395D46"/>
    <w:rsid w:val="0039728F"/>
    <w:rsid w:val="003A0FF3"/>
    <w:rsid w:val="003A172C"/>
    <w:rsid w:val="003A222C"/>
    <w:rsid w:val="003A27A5"/>
    <w:rsid w:val="003A3A78"/>
    <w:rsid w:val="003A5F3C"/>
    <w:rsid w:val="003B0602"/>
    <w:rsid w:val="003B18AA"/>
    <w:rsid w:val="003B3C49"/>
    <w:rsid w:val="003B5BD3"/>
    <w:rsid w:val="003B73C9"/>
    <w:rsid w:val="003C0984"/>
    <w:rsid w:val="003D180F"/>
    <w:rsid w:val="003D3B6C"/>
    <w:rsid w:val="003E6D4C"/>
    <w:rsid w:val="003F2E00"/>
    <w:rsid w:val="00401D2A"/>
    <w:rsid w:val="00402740"/>
    <w:rsid w:val="00404A43"/>
    <w:rsid w:val="00405368"/>
    <w:rsid w:val="00407019"/>
    <w:rsid w:val="00410B2A"/>
    <w:rsid w:val="00413304"/>
    <w:rsid w:val="00414786"/>
    <w:rsid w:val="00414798"/>
    <w:rsid w:val="0042428B"/>
    <w:rsid w:val="0042572F"/>
    <w:rsid w:val="00425883"/>
    <w:rsid w:val="0042777E"/>
    <w:rsid w:val="004316E8"/>
    <w:rsid w:val="00442C8C"/>
    <w:rsid w:val="00444300"/>
    <w:rsid w:val="00444F7E"/>
    <w:rsid w:val="0044520D"/>
    <w:rsid w:val="00445CC1"/>
    <w:rsid w:val="00447F23"/>
    <w:rsid w:val="00453F80"/>
    <w:rsid w:val="0045486F"/>
    <w:rsid w:val="004612AF"/>
    <w:rsid w:val="00462B00"/>
    <w:rsid w:val="00465468"/>
    <w:rsid w:val="00471E63"/>
    <w:rsid w:val="00473000"/>
    <w:rsid w:val="0047327F"/>
    <w:rsid w:val="00476147"/>
    <w:rsid w:val="004801A7"/>
    <w:rsid w:val="00481C6E"/>
    <w:rsid w:val="00482224"/>
    <w:rsid w:val="004823F2"/>
    <w:rsid w:val="00485429"/>
    <w:rsid w:val="004868B3"/>
    <w:rsid w:val="00490245"/>
    <w:rsid w:val="00491814"/>
    <w:rsid w:val="0049221F"/>
    <w:rsid w:val="00497929"/>
    <w:rsid w:val="004A1331"/>
    <w:rsid w:val="004A1CEB"/>
    <w:rsid w:val="004A62E9"/>
    <w:rsid w:val="004B370F"/>
    <w:rsid w:val="004B6401"/>
    <w:rsid w:val="004C2D11"/>
    <w:rsid w:val="004C55E7"/>
    <w:rsid w:val="004C6C2A"/>
    <w:rsid w:val="004D0215"/>
    <w:rsid w:val="004D1FB9"/>
    <w:rsid w:val="004D3F26"/>
    <w:rsid w:val="004D4717"/>
    <w:rsid w:val="004D65C2"/>
    <w:rsid w:val="004E0056"/>
    <w:rsid w:val="004E6716"/>
    <w:rsid w:val="004E694A"/>
    <w:rsid w:val="004F0B31"/>
    <w:rsid w:val="004F3A91"/>
    <w:rsid w:val="004F5A43"/>
    <w:rsid w:val="004F73D1"/>
    <w:rsid w:val="00500098"/>
    <w:rsid w:val="00500402"/>
    <w:rsid w:val="00501994"/>
    <w:rsid w:val="005071F9"/>
    <w:rsid w:val="00510F4C"/>
    <w:rsid w:val="005145C4"/>
    <w:rsid w:val="00514E1F"/>
    <w:rsid w:val="0052265C"/>
    <w:rsid w:val="00526239"/>
    <w:rsid w:val="005308D4"/>
    <w:rsid w:val="00530A52"/>
    <w:rsid w:val="005330D3"/>
    <w:rsid w:val="00533CC4"/>
    <w:rsid w:val="00540A5B"/>
    <w:rsid w:val="005410FE"/>
    <w:rsid w:val="00542ACC"/>
    <w:rsid w:val="00544583"/>
    <w:rsid w:val="00550556"/>
    <w:rsid w:val="00550895"/>
    <w:rsid w:val="00551FA5"/>
    <w:rsid w:val="00553397"/>
    <w:rsid w:val="00553EA0"/>
    <w:rsid w:val="00555583"/>
    <w:rsid w:val="00555F2D"/>
    <w:rsid w:val="00557A75"/>
    <w:rsid w:val="00560638"/>
    <w:rsid w:val="0056065A"/>
    <w:rsid w:val="00561A1F"/>
    <w:rsid w:val="00562356"/>
    <w:rsid w:val="00562477"/>
    <w:rsid w:val="005624F9"/>
    <w:rsid w:val="005655BF"/>
    <w:rsid w:val="00565778"/>
    <w:rsid w:val="0056646B"/>
    <w:rsid w:val="00585CB7"/>
    <w:rsid w:val="00590686"/>
    <w:rsid w:val="0059114F"/>
    <w:rsid w:val="0059307B"/>
    <w:rsid w:val="00593725"/>
    <w:rsid w:val="00593B78"/>
    <w:rsid w:val="005A30D6"/>
    <w:rsid w:val="005A7717"/>
    <w:rsid w:val="005B0B23"/>
    <w:rsid w:val="005B10DF"/>
    <w:rsid w:val="005B47CD"/>
    <w:rsid w:val="005B6B4F"/>
    <w:rsid w:val="005C2D95"/>
    <w:rsid w:val="005C3ABF"/>
    <w:rsid w:val="005C5D70"/>
    <w:rsid w:val="005D4734"/>
    <w:rsid w:val="005E1168"/>
    <w:rsid w:val="005E2881"/>
    <w:rsid w:val="005F132C"/>
    <w:rsid w:val="005F27D9"/>
    <w:rsid w:val="005F447A"/>
    <w:rsid w:val="005F49DB"/>
    <w:rsid w:val="0060078D"/>
    <w:rsid w:val="00605247"/>
    <w:rsid w:val="00612DD1"/>
    <w:rsid w:val="0061431E"/>
    <w:rsid w:val="00620C4A"/>
    <w:rsid w:val="0062159B"/>
    <w:rsid w:val="00632A92"/>
    <w:rsid w:val="00633597"/>
    <w:rsid w:val="00641216"/>
    <w:rsid w:val="00642BDD"/>
    <w:rsid w:val="00643E04"/>
    <w:rsid w:val="00645FC6"/>
    <w:rsid w:val="0065008A"/>
    <w:rsid w:val="006507A3"/>
    <w:rsid w:val="00650FC1"/>
    <w:rsid w:val="00657A9C"/>
    <w:rsid w:val="00666809"/>
    <w:rsid w:val="00671F5E"/>
    <w:rsid w:val="006722A7"/>
    <w:rsid w:val="006731B7"/>
    <w:rsid w:val="0067565D"/>
    <w:rsid w:val="00680348"/>
    <w:rsid w:val="006803D8"/>
    <w:rsid w:val="00680763"/>
    <w:rsid w:val="00682880"/>
    <w:rsid w:val="00683CFF"/>
    <w:rsid w:val="006859DA"/>
    <w:rsid w:val="006863E9"/>
    <w:rsid w:val="0068753D"/>
    <w:rsid w:val="00687A5F"/>
    <w:rsid w:val="00687DF7"/>
    <w:rsid w:val="00687FD2"/>
    <w:rsid w:val="00691C2A"/>
    <w:rsid w:val="006942E8"/>
    <w:rsid w:val="006947FB"/>
    <w:rsid w:val="00694830"/>
    <w:rsid w:val="00694FDE"/>
    <w:rsid w:val="006959B7"/>
    <w:rsid w:val="00695EC1"/>
    <w:rsid w:val="006A331E"/>
    <w:rsid w:val="006A6A40"/>
    <w:rsid w:val="006B0EC1"/>
    <w:rsid w:val="006B22AF"/>
    <w:rsid w:val="006B551A"/>
    <w:rsid w:val="006B5F62"/>
    <w:rsid w:val="006C2419"/>
    <w:rsid w:val="006C26D8"/>
    <w:rsid w:val="006C611D"/>
    <w:rsid w:val="006C6343"/>
    <w:rsid w:val="006C6DF7"/>
    <w:rsid w:val="006D11FE"/>
    <w:rsid w:val="006D5468"/>
    <w:rsid w:val="006E177C"/>
    <w:rsid w:val="006E329A"/>
    <w:rsid w:val="006E32E3"/>
    <w:rsid w:val="006E3954"/>
    <w:rsid w:val="006E40BF"/>
    <w:rsid w:val="006F056F"/>
    <w:rsid w:val="006F4582"/>
    <w:rsid w:val="006F4AC4"/>
    <w:rsid w:val="006F503E"/>
    <w:rsid w:val="006F5130"/>
    <w:rsid w:val="006F5634"/>
    <w:rsid w:val="00707ED0"/>
    <w:rsid w:val="00713577"/>
    <w:rsid w:val="007136E3"/>
    <w:rsid w:val="00713AFE"/>
    <w:rsid w:val="00713F2A"/>
    <w:rsid w:val="007142D4"/>
    <w:rsid w:val="00715630"/>
    <w:rsid w:val="00716353"/>
    <w:rsid w:val="00716526"/>
    <w:rsid w:val="00727C22"/>
    <w:rsid w:val="00730786"/>
    <w:rsid w:val="0073424E"/>
    <w:rsid w:val="0073479D"/>
    <w:rsid w:val="00743C55"/>
    <w:rsid w:val="00745333"/>
    <w:rsid w:val="007511A4"/>
    <w:rsid w:val="007568E9"/>
    <w:rsid w:val="00762C96"/>
    <w:rsid w:val="00764018"/>
    <w:rsid w:val="00774AF9"/>
    <w:rsid w:val="00774FFB"/>
    <w:rsid w:val="0077500F"/>
    <w:rsid w:val="007762AA"/>
    <w:rsid w:val="00776C0D"/>
    <w:rsid w:val="00781AC3"/>
    <w:rsid w:val="00781DFF"/>
    <w:rsid w:val="0078292D"/>
    <w:rsid w:val="00785FEC"/>
    <w:rsid w:val="00786B91"/>
    <w:rsid w:val="007872DD"/>
    <w:rsid w:val="00787BD3"/>
    <w:rsid w:val="00794E1A"/>
    <w:rsid w:val="00794F11"/>
    <w:rsid w:val="007A4BA2"/>
    <w:rsid w:val="007B2724"/>
    <w:rsid w:val="007B2CC3"/>
    <w:rsid w:val="007B7C93"/>
    <w:rsid w:val="007C21B9"/>
    <w:rsid w:val="007C22EC"/>
    <w:rsid w:val="007C49E4"/>
    <w:rsid w:val="007C61E0"/>
    <w:rsid w:val="007C6655"/>
    <w:rsid w:val="007C7EFB"/>
    <w:rsid w:val="007D135D"/>
    <w:rsid w:val="007D3070"/>
    <w:rsid w:val="007D5682"/>
    <w:rsid w:val="007D65D1"/>
    <w:rsid w:val="007E58B1"/>
    <w:rsid w:val="007E5BCE"/>
    <w:rsid w:val="007E5C46"/>
    <w:rsid w:val="007F0DA9"/>
    <w:rsid w:val="007F23C4"/>
    <w:rsid w:val="007F6294"/>
    <w:rsid w:val="0080448F"/>
    <w:rsid w:val="008073B4"/>
    <w:rsid w:val="00807F1D"/>
    <w:rsid w:val="008102D5"/>
    <w:rsid w:val="008111FF"/>
    <w:rsid w:val="00812824"/>
    <w:rsid w:val="008146DC"/>
    <w:rsid w:val="00820096"/>
    <w:rsid w:val="008210B1"/>
    <w:rsid w:val="00824A22"/>
    <w:rsid w:val="0082610D"/>
    <w:rsid w:val="0082752D"/>
    <w:rsid w:val="0083045E"/>
    <w:rsid w:val="00830539"/>
    <w:rsid w:val="008336DF"/>
    <w:rsid w:val="0084021C"/>
    <w:rsid w:val="008461F0"/>
    <w:rsid w:val="00847D70"/>
    <w:rsid w:val="00850990"/>
    <w:rsid w:val="008547B1"/>
    <w:rsid w:val="008577A9"/>
    <w:rsid w:val="0086165E"/>
    <w:rsid w:val="00861AC3"/>
    <w:rsid w:val="00863451"/>
    <w:rsid w:val="0086517B"/>
    <w:rsid w:val="00866288"/>
    <w:rsid w:val="00866537"/>
    <w:rsid w:val="00870D84"/>
    <w:rsid w:val="00870E05"/>
    <w:rsid w:val="00871AA6"/>
    <w:rsid w:val="00871FF3"/>
    <w:rsid w:val="00880CDD"/>
    <w:rsid w:val="0088103F"/>
    <w:rsid w:val="00881620"/>
    <w:rsid w:val="00881EB8"/>
    <w:rsid w:val="0088341F"/>
    <w:rsid w:val="008901EE"/>
    <w:rsid w:val="00891E09"/>
    <w:rsid w:val="00892C4D"/>
    <w:rsid w:val="00892E96"/>
    <w:rsid w:val="0089482E"/>
    <w:rsid w:val="00894A7E"/>
    <w:rsid w:val="00894C27"/>
    <w:rsid w:val="00897CD7"/>
    <w:rsid w:val="008A238A"/>
    <w:rsid w:val="008A261F"/>
    <w:rsid w:val="008A4043"/>
    <w:rsid w:val="008A5576"/>
    <w:rsid w:val="008B1BF1"/>
    <w:rsid w:val="008B540E"/>
    <w:rsid w:val="008B629D"/>
    <w:rsid w:val="008B690B"/>
    <w:rsid w:val="008C1819"/>
    <w:rsid w:val="008C4686"/>
    <w:rsid w:val="008D093E"/>
    <w:rsid w:val="008D1DBC"/>
    <w:rsid w:val="008D3B05"/>
    <w:rsid w:val="008D46E4"/>
    <w:rsid w:val="008D7452"/>
    <w:rsid w:val="008E2694"/>
    <w:rsid w:val="008E36CA"/>
    <w:rsid w:val="008E3942"/>
    <w:rsid w:val="008E6BB8"/>
    <w:rsid w:val="008F1CB9"/>
    <w:rsid w:val="008F1F99"/>
    <w:rsid w:val="008F6C5E"/>
    <w:rsid w:val="00900AE3"/>
    <w:rsid w:val="009035B0"/>
    <w:rsid w:val="00905276"/>
    <w:rsid w:val="00907DE4"/>
    <w:rsid w:val="00907DFB"/>
    <w:rsid w:val="009119AC"/>
    <w:rsid w:val="00912B67"/>
    <w:rsid w:val="00912CDE"/>
    <w:rsid w:val="00915C08"/>
    <w:rsid w:val="00923187"/>
    <w:rsid w:val="00930E7D"/>
    <w:rsid w:val="009335D4"/>
    <w:rsid w:val="00934246"/>
    <w:rsid w:val="009355F2"/>
    <w:rsid w:val="00936321"/>
    <w:rsid w:val="009369D2"/>
    <w:rsid w:val="00940573"/>
    <w:rsid w:val="00940DD5"/>
    <w:rsid w:val="0094285C"/>
    <w:rsid w:val="009516A3"/>
    <w:rsid w:val="00952535"/>
    <w:rsid w:val="00956A79"/>
    <w:rsid w:val="00956AF0"/>
    <w:rsid w:val="009609A9"/>
    <w:rsid w:val="00964193"/>
    <w:rsid w:val="009723CE"/>
    <w:rsid w:val="0097392F"/>
    <w:rsid w:val="00973963"/>
    <w:rsid w:val="00974001"/>
    <w:rsid w:val="00976F4B"/>
    <w:rsid w:val="00977D89"/>
    <w:rsid w:val="009814AF"/>
    <w:rsid w:val="00982F97"/>
    <w:rsid w:val="00987D7A"/>
    <w:rsid w:val="00987FFA"/>
    <w:rsid w:val="00993AAE"/>
    <w:rsid w:val="009979EA"/>
    <w:rsid w:val="009A219D"/>
    <w:rsid w:val="009A3C7C"/>
    <w:rsid w:val="009A4931"/>
    <w:rsid w:val="009B0807"/>
    <w:rsid w:val="009B2F5C"/>
    <w:rsid w:val="009C0DF9"/>
    <w:rsid w:val="009C2FC6"/>
    <w:rsid w:val="009C6FA2"/>
    <w:rsid w:val="009C7E14"/>
    <w:rsid w:val="009D077D"/>
    <w:rsid w:val="009F0652"/>
    <w:rsid w:val="009F216B"/>
    <w:rsid w:val="009F57F8"/>
    <w:rsid w:val="009F6457"/>
    <w:rsid w:val="009F708D"/>
    <w:rsid w:val="009F74D1"/>
    <w:rsid w:val="00A0005B"/>
    <w:rsid w:val="00A02D4F"/>
    <w:rsid w:val="00A06E5F"/>
    <w:rsid w:val="00A127F0"/>
    <w:rsid w:val="00A17BC8"/>
    <w:rsid w:val="00A27555"/>
    <w:rsid w:val="00A302C0"/>
    <w:rsid w:val="00A30760"/>
    <w:rsid w:val="00A30E04"/>
    <w:rsid w:val="00A311A5"/>
    <w:rsid w:val="00A32AC7"/>
    <w:rsid w:val="00A32C88"/>
    <w:rsid w:val="00A33A02"/>
    <w:rsid w:val="00A34B63"/>
    <w:rsid w:val="00A36FB2"/>
    <w:rsid w:val="00A40274"/>
    <w:rsid w:val="00A404FA"/>
    <w:rsid w:val="00A41A64"/>
    <w:rsid w:val="00A41DBB"/>
    <w:rsid w:val="00A47C72"/>
    <w:rsid w:val="00A47E7A"/>
    <w:rsid w:val="00A51DE4"/>
    <w:rsid w:val="00A53DB3"/>
    <w:rsid w:val="00A571EB"/>
    <w:rsid w:val="00A66752"/>
    <w:rsid w:val="00A67128"/>
    <w:rsid w:val="00A67AB1"/>
    <w:rsid w:val="00A70671"/>
    <w:rsid w:val="00A7087E"/>
    <w:rsid w:val="00A71BA4"/>
    <w:rsid w:val="00A724C5"/>
    <w:rsid w:val="00A740B5"/>
    <w:rsid w:val="00A774BE"/>
    <w:rsid w:val="00A82C00"/>
    <w:rsid w:val="00A83BE2"/>
    <w:rsid w:val="00A8640F"/>
    <w:rsid w:val="00A92033"/>
    <w:rsid w:val="00A93295"/>
    <w:rsid w:val="00A93571"/>
    <w:rsid w:val="00A97A99"/>
    <w:rsid w:val="00AA250B"/>
    <w:rsid w:val="00AA49AE"/>
    <w:rsid w:val="00AB1925"/>
    <w:rsid w:val="00AB401D"/>
    <w:rsid w:val="00AB42BF"/>
    <w:rsid w:val="00AB53E1"/>
    <w:rsid w:val="00AC2018"/>
    <w:rsid w:val="00AC3A3A"/>
    <w:rsid w:val="00AC3CF8"/>
    <w:rsid w:val="00AC42C1"/>
    <w:rsid w:val="00AD276A"/>
    <w:rsid w:val="00AD74DB"/>
    <w:rsid w:val="00AE0F7D"/>
    <w:rsid w:val="00AE23B2"/>
    <w:rsid w:val="00AE75F9"/>
    <w:rsid w:val="00AF29C3"/>
    <w:rsid w:val="00AF41B8"/>
    <w:rsid w:val="00AF7A10"/>
    <w:rsid w:val="00B02E43"/>
    <w:rsid w:val="00B03550"/>
    <w:rsid w:val="00B062B6"/>
    <w:rsid w:val="00B0669D"/>
    <w:rsid w:val="00B10F0B"/>
    <w:rsid w:val="00B11B29"/>
    <w:rsid w:val="00B1300E"/>
    <w:rsid w:val="00B1391B"/>
    <w:rsid w:val="00B14785"/>
    <w:rsid w:val="00B15E2C"/>
    <w:rsid w:val="00B164B6"/>
    <w:rsid w:val="00B248D3"/>
    <w:rsid w:val="00B25FFB"/>
    <w:rsid w:val="00B27507"/>
    <w:rsid w:val="00B2773B"/>
    <w:rsid w:val="00B31B63"/>
    <w:rsid w:val="00B31BAF"/>
    <w:rsid w:val="00B3284F"/>
    <w:rsid w:val="00B32A46"/>
    <w:rsid w:val="00B34D62"/>
    <w:rsid w:val="00B37EA0"/>
    <w:rsid w:val="00B45564"/>
    <w:rsid w:val="00B519D1"/>
    <w:rsid w:val="00B52745"/>
    <w:rsid w:val="00B6038B"/>
    <w:rsid w:val="00B60D2B"/>
    <w:rsid w:val="00B61F54"/>
    <w:rsid w:val="00B6381E"/>
    <w:rsid w:val="00B65F27"/>
    <w:rsid w:val="00B71714"/>
    <w:rsid w:val="00B75A81"/>
    <w:rsid w:val="00B75ED8"/>
    <w:rsid w:val="00B76CE3"/>
    <w:rsid w:val="00B817C3"/>
    <w:rsid w:val="00B8244C"/>
    <w:rsid w:val="00B82FB4"/>
    <w:rsid w:val="00B850F3"/>
    <w:rsid w:val="00B85F0D"/>
    <w:rsid w:val="00B92BD9"/>
    <w:rsid w:val="00B9431E"/>
    <w:rsid w:val="00B95897"/>
    <w:rsid w:val="00B95E3B"/>
    <w:rsid w:val="00BA18AD"/>
    <w:rsid w:val="00BA4362"/>
    <w:rsid w:val="00BA7A7D"/>
    <w:rsid w:val="00BB139E"/>
    <w:rsid w:val="00BB4ECF"/>
    <w:rsid w:val="00BC1F53"/>
    <w:rsid w:val="00BC2E33"/>
    <w:rsid w:val="00BC426E"/>
    <w:rsid w:val="00BC5615"/>
    <w:rsid w:val="00BC5A22"/>
    <w:rsid w:val="00BD0FC7"/>
    <w:rsid w:val="00BD3DED"/>
    <w:rsid w:val="00BD57CB"/>
    <w:rsid w:val="00BE0B9F"/>
    <w:rsid w:val="00BE2843"/>
    <w:rsid w:val="00BF5858"/>
    <w:rsid w:val="00C03808"/>
    <w:rsid w:val="00C06FA4"/>
    <w:rsid w:val="00C07643"/>
    <w:rsid w:val="00C10458"/>
    <w:rsid w:val="00C11642"/>
    <w:rsid w:val="00C125A5"/>
    <w:rsid w:val="00C14025"/>
    <w:rsid w:val="00C171CF"/>
    <w:rsid w:val="00C17639"/>
    <w:rsid w:val="00C23AB0"/>
    <w:rsid w:val="00C252DA"/>
    <w:rsid w:val="00C25938"/>
    <w:rsid w:val="00C25F2C"/>
    <w:rsid w:val="00C27597"/>
    <w:rsid w:val="00C304A6"/>
    <w:rsid w:val="00C4001C"/>
    <w:rsid w:val="00C40CE3"/>
    <w:rsid w:val="00C42525"/>
    <w:rsid w:val="00C42C4D"/>
    <w:rsid w:val="00C42DB7"/>
    <w:rsid w:val="00C444DE"/>
    <w:rsid w:val="00C472FD"/>
    <w:rsid w:val="00C47B78"/>
    <w:rsid w:val="00C51B88"/>
    <w:rsid w:val="00C52D18"/>
    <w:rsid w:val="00C5730A"/>
    <w:rsid w:val="00C66A67"/>
    <w:rsid w:val="00C93C21"/>
    <w:rsid w:val="00C93CC4"/>
    <w:rsid w:val="00C97784"/>
    <w:rsid w:val="00CA0301"/>
    <w:rsid w:val="00CA1BAF"/>
    <w:rsid w:val="00CA6099"/>
    <w:rsid w:val="00CA7003"/>
    <w:rsid w:val="00CB0556"/>
    <w:rsid w:val="00CB156B"/>
    <w:rsid w:val="00CB60D5"/>
    <w:rsid w:val="00CB6164"/>
    <w:rsid w:val="00CB63E0"/>
    <w:rsid w:val="00CC317E"/>
    <w:rsid w:val="00CC5470"/>
    <w:rsid w:val="00CC5CC5"/>
    <w:rsid w:val="00CD2EE3"/>
    <w:rsid w:val="00CD4EC3"/>
    <w:rsid w:val="00CD6633"/>
    <w:rsid w:val="00CD751A"/>
    <w:rsid w:val="00CE24F6"/>
    <w:rsid w:val="00CE5365"/>
    <w:rsid w:val="00CE64DC"/>
    <w:rsid w:val="00CE7535"/>
    <w:rsid w:val="00CF05B1"/>
    <w:rsid w:val="00CF12FE"/>
    <w:rsid w:val="00CF2DFB"/>
    <w:rsid w:val="00CF3764"/>
    <w:rsid w:val="00D03B97"/>
    <w:rsid w:val="00D1412D"/>
    <w:rsid w:val="00D1792A"/>
    <w:rsid w:val="00D20678"/>
    <w:rsid w:val="00D212D9"/>
    <w:rsid w:val="00D21CC8"/>
    <w:rsid w:val="00D25325"/>
    <w:rsid w:val="00D26CC1"/>
    <w:rsid w:val="00D3478A"/>
    <w:rsid w:val="00D34F3D"/>
    <w:rsid w:val="00D44410"/>
    <w:rsid w:val="00D45A4B"/>
    <w:rsid w:val="00D45E08"/>
    <w:rsid w:val="00D47B7F"/>
    <w:rsid w:val="00D52B10"/>
    <w:rsid w:val="00D551F0"/>
    <w:rsid w:val="00D5565F"/>
    <w:rsid w:val="00D55D8C"/>
    <w:rsid w:val="00D65A11"/>
    <w:rsid w:val="00D66F22"/>
    <w:rsid w:val="00D6710E"/>
    <w:rsid w:val="00D71689"/>
    <w:rsid w:val="00D7200C"/>
    <w:rsid w:val="00D72A6F"/>
    <w:rsid w:val="00D73956"/>
    <w:rsid w:val="00D742B2"/>
    <w:rsid w:val="00D75FB7"/>
    <w:rsid w:val="00D80862"/>
    <w:rsid w:val="00D8086D"/>
    <w:rsid w:val="00D81101"/>
    <w:rsid w:val="00D81EBD"/>
    <w:rsid w:val="00D85E96"/>
    <w:rsid w:val="00D92DBA"/>
    <w:rsid w:val="00D9410C"/>
    <w:rsid w:val="00D9542B"/>
    <w:rsid w:val="00D95E94"/>
    <w:rsid w:val="00DA26CD"/>
    <w:rsid w:val="00DA33F1"/>
    <w:rsid w:val="00DA7001"/>
    <w:rsid w:val="00DB2371"/>
    <w:rsid w:val="00DB3F34"/>
    <w:rsid w:val="00DC14CC"/>
    <w:rsid w:val="00DC412E"/>
    <w:rsid w:val="00DC46B6"/>
    <w:rsid w:val="00DD0DF4"/>
    <w:rsid w:val="00DD1A4F"/>
    <w:rsid w:val="00DD2D0F"/>
    <w:rsid w:val="00DD4C6F"/>
    <w:rsid w:val="00DD7A3B"/>
    <w:rsid w:val="00DE13C7"/>
    <w:rsid w:val="00DE13D4"/>
    <w:rsid w:val="00DE2079"/>
    <w:rsid w:val="00DE3119"/>
    <w:rsid w:val="00DE47E5"/>
    <w:rsid w:val="00DE6DA2"/>
    <w:rsid w:val="00DE7D99"/>
    <w:rsid w:val="00DF0C11"/>
    <w:rsid w:val="00DF2346"/>
    <w:rsid w:val="00DF53A8"/>
    <w:rsid w:val="00E0178B"/>
    <w:rsid w:val="00E116C0"/>
    <w:rsid w:val="00E13A76"/>
    <w:rsid w:val="00E162D1"/>
    <w:rsid w:val="00E208AF"/>
    <w:rsid w:val="00E24CFA"/>
    <w:rsid w:val="00E25029"/>
    <w:rsid w:val="00E2555B"/>
    <w:rsid w:val="00E32156"/>
    <w:rsid w:val="00E32C75"/>
    <w:rsid w:val="00E423F9"/>
    <w:rsid w:val="00E43AD7"/>
    <w:rsid w:val="00E43E4A"/>
    <w:rsid w:val="00E450FE"/>
    <w:rsid w:val="00E45A4F"/>
    <w:rsid w:val="00E460D5"/>
    <w:rsid w:val="00E46BFA"/>
    <w:rsid w:val="00E56E7E"/>
    <w:rsid w:val="00E57120"/>
    <w:rsid w:val="00E5727A"/>
    <w:rsid w:val="00E57850"/>
    <w:rsid w:val="00E60A3F"/>
    <w:rsid w:val="00E633D4"/>
    <w:rsid w:val="00E76A41"/>
    <w:rsid w:val="00E77490"/>
    <w:rsid w:val="00E91122"/>
    <w:rsid w:val="00E92E93"/>
    <w:rsid w:val="00E931F0"/>
    <w:rsid w:val="00E942F8"/>
    <w:rsid w:val="00E94F40"/>
    <w:rsid w:val="00EA1E45"/>
    <w:rsid w:val="00EA3F75"/>
    <w:rsid w:val="00EA5A9F"/>
    <w:rsid w:val="00EA5B8A"/>
    <w:rsid w:val="00EB0486"/>
    <w:rsid w:val="00EB0A79"/>
    <w:rsid w:val="00EB54CA"/>
    <w:rsid w:val="00EB630D"/>
    <w:rsid w:val="00EB6B62"/>
    <w:rsid w:val="00EB7E5E"/>
    <w:rsid w:val="00EC158D"/>
    <w:rsid w:val="00EC41CD"/>
    <w:rsid w:val="00EC4D87"/>
    <w:rsid w:val="00EC51EF"/>
    <w:rsid w:val="00EC5725"/>
    <w:rsid w:val="00EC7137"/>
    <w:rsid w:val="00ED22E1"/>
    <w:rsid w:val="00ED38EA"/>
    <w:rsid w:val="00ED45B2"/>
    <w:rsid w:val="00ED4D37"/>
    <w:rsid w:val="00ED53A6"/>
    <w:rsid w:val="00ED61AE"/>
    <w:rsid w:val="00ED7202"/>
    <w:rsid w:val="00EE0F1F"/>
    <w:rsid w:val="00EE111E"/>
    <w:rsid w:val="00EE1243"/>
    <w:rsid w:val="00EE685D"/>
    <w:rsid w:val="00EE7CFE"/>
    <w:rsid w:val="00EF0C83"/>
    <w:rsid w:val="00EF1D33"/>
    <w:rsid w:val="00EF1D68"/>
    <w:rsid w:val="00EF63AF"/>
    <w:rsid w:val="00F00BEA"/>
    <w:rsid w:val="00F108AA"/>
    <w:rsid w:val="00F12B02"/>
    <w:rsid w:val="00F14A22"/>
    <w:rsid w:val="00F14D61"/>
    <w:rsid w:val="00F20CFA"/>
    <w:rsid w:val="00F21297"/>
    <w:rsid w:val="00F21DA5"/>
    <w:rsid w:val="00F23096"/>
    <w:rsid w:val="00F231C3"/>
    <w:rsid w:val="00F2697D"/>
    <w:rsid w:val="00F3022E"/>
    <w:rsid w:val="00F310C4"/>
    <w:rsid w:val="00F363FB"/>
    <w:rsid w:val="00F4124C"/>
    <w:rsid w:val="00F41C6B"/>
    <w:rsid w:val="00F43C5C"/>
    <w:rsid w:val="00F45D66"/>
    <w:rsid w:val="00F46212"/>
    <w:rsid w:val="00F4641F"/>
    <w:rsid w:val="00F505F1"/>
    <w:rsid w:val="00F52F91"/>
    <w:rsid w:val="00F53867"/>
    <w:rsid w:val="00F5561C"/>
    <w:rsid w:val="00F57067"/>
    <w:rsid w:val="00F61E34"/>
    <w:rsid w:val="00F64724"/>
    <w:rsid w:val="00F65B7B"/>
    <w:rsid w:val="00F73234"/>
    <w:rsid w:val="00F750BE"/>
    <w:rsid w:val="00F75655"/>
    <w:rsid w:val="00F764B2"/>
    <w:rsid w:val="00F764E6"/>
    <w:rsid w:val="00F809E6"/>
    <w:rsid w:val="00F8368A"/>
    <w:rsid w:val="00F84861"/>
    <w:rsid w:val="00F87B8E"/>
    <w:rsid w:val="00F94292"/>
    <w:rsid w:val="00F96439"/>
    <w:rsid w:val="00F971BB"/>
    <w:rsid w:val="00FA1533"/>
    <w:rsid w:val="00FA1FB4"/>
    <w:rsid w:val="00FA20C7"/>
    <w:rsid w:val="00FA2DD2"/>
    <w:rsid w:val="00FA7430"/>
    <w:rsid w:val="00FB0D54"/>
    <w:rsid w:val="00FB19F0"/>
    <w:rsid w:val="00FB646D"/>
    <w:rsid w:val="00FB6967"/>
    <w:rsid w:val="00FC0702"/>
    <w:rsid w:val="00FC2BB0"/>
    <w:rsid w:val="00FC2BCB"/>
    <w:rsid w:val="00FC3319"/>
    <w:rsid w:val="00FC4804"/>
    <w:rsid w:val="00FD079D"/>
    <w:rsid w:val="00FD0FB1"/>
    <w:rsid w:val="00FD1A12"/>
    <w:rsid w:val="00FD4DFF"/>
    <w:rsid w:val="00FD559C"/>
    <w:rsid w:val="00FE64A1"/>
    <w:rsid w:val="00FE66B2"/>
    <w:rsid w:val="00FE7D39"/>
    <w:rsid w:val="00FF0F4C"/>
    <w:rsid w:val="00FF154E"/>
    <w:rsid w:val="00FF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4E1F"/>
    <w:rPr>
      <w:sz w:val="16"/>
      <w:szCs w:val="16"/>
    </w:rPr>
  </w:style>
  <w:style w:type="paragraph" w:styleId="CommentText">
    <w:name w:val="annotation text"/>
    <w:basedOn w:val="Normal"/>
    <w:link w:val="CommentTextChar"/>
    <w:uiPriority w:val="99"/>
    <w:semiHidden/>
    <w:unhideWhenUsed/>
    <w:rsid w:val="00514E1F"/>
    <w:pPr>
      <w:spacing w:line="240" w:lineRule="auto"/>
    </w:pPr>
    <w:rPr>
      <w:sz w:val="20"/>
      <w:szCs w:val="20"/>
    </w:rPr>
  </w:style>
  <w:style w:type="character" w:customStyle="1" w:styleId="CommentTextChar">
    <w:name w:val="Comment Text Char"/>
    <w:basedOn w:val="DefaultParagraphFont"/>
    <w:link w:val="CommentText"/>
    <w:uiPriority w:val="99"/>
    <w:semiHidden/>
    <w:rsid w:val="00514E1F"/>
    <w:rPr>
      <w:sz w:val="20"/>
      <w:szCs w:val="20"/>
    </w:rPr>
  </w:style>
  <w:style w:type="paragraph" w:styleId="BalloonText">
    <w:name w:val="Balloon Text"/>
    <w:basedOn w:val="Normal"/>
    <w:link w:val="BalloonTextChar"/>
    <w:uiPriority w:val="99"/>
    <w:semiHidden/>
    <w:unhideWhenUsed/>
    <w:rsid w:val="00514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E1F"/>
    <w:rPr>
      <w:rFonts w:ascii="Tahoma" w:hAnsi="Tahoma" w:cs="Tahoma"/>
      <w:sz w:val="16"/>
      <w:szCs w:val="16"/>
    </w:rPr>
  </w:style>
  <w:style w:type="paragraph" w:styleId="ListParagraph">
    <w:name w:val="List Paragraph"/>
    <w:basedOn w:val="Normal"/>
    <w:uiPriority w:val="34"/>
    <w:qFormat/>
    <w:rsid w:val="00297BE8"/>
    <w:pPr>
      <w:ind w:left="720"/>
      <w:contextualSpacing/>
    </w:pPr>
  </w:style>
  <w:style w:type="paragraph" w:styleId="Header">
    <w:name w:val="header"/>
    <w:basedOn w:val="Normal"/>
    <w:link w:val="HeaderChar"/>
    <w:uiPriority w:val="99"/>
    <w:unhideWhenUsed/>
    <w:rsid w:val="00BE0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B9F"/>
  </w:style>
  <w:style w:type="paragraph" w:styleId="Footer">
    <w:name w:val="footer"/>
    <w:basedOn w:val="Normal"/>
    <w:link w:val="FooterChar"/>
    <w:uiPriority w:val="99"/>
    <w:unhideWhenUsed/>
    <w:rsid w:val="00BE0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B9F"/>
  </w:style>
  <w:style w:type="character" w:styleId="Hyperlink">
    <w:name w:val="Hyperlink"/>
    <w:basedOn w:val="DefaultParagraphFont"/>
    <w:uiPriority w:val="99"/>
    <w:unhideWhenUsed/>
    <w:rsid w:val="00FC4804"/>
    <w:rPr>
      <w:color w:val="0000FF" w:themeColor="hyperlink"/>
      <w:u w:val="single"/>
    </w:rPr>
  </w:style>
  <w:style w:type="character" w:styleId="FollowedHyperlink">
    <w:name w:val="FollowedHyperlink"/>
    <w:basedOn w:val="DefaultParagraphFont"/>
    <w:uiPriority w:val="99"/>
    <w:semiHidden/>
    <w:unhideWhenUsed/>
    <w:rsid w:val="00FC480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108AA"/>
    <w:rPr>
      <w:b/>
      <w:bCs/>
    </w:rPr>
  </w:style>
  <w:style w:type="character" w:customStyle="1" w:styleId="CommentSubjectChar">
    <w:name w:val="Comment Subject Char"/>
    <w:basedOn w:val="CommentTextChar"/>
    <w:link w:val="CommentSubject"/>
    <w:uiPriority w:val="99"/>
    <w:semiHidden/>
    <w:rsid w:val="00F108AA"/>
    <w:rPr>
      <w:b/>
      <w:bCs/>
      <w:sz w:val="20"/>
      <w:szCs w:val="20"/>
    </w:rPr>
  </w:style>
  <w:style w:type="paragraph" w:styleId="Revision">
    <w:name w:val="Revision"/>
    <w:hidden/>
    <w:uiPriority w:val="99"/>
    <w:semiHidden/>
    <w:rsid w:val="00CC317E"/>
    <w:pPr>
      <w:spacing w:after="0" w:line="240" w:lineRule="auto"/>
    </w:pPr>
  </w:style>
  <w:style w:type="paragraph" w:customStyle="1" w:styleId="Default">
    <w:name w:val="Default"/>
    <w:rsid w:val="003020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847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4E1F"/>
    <w:rPr>
      <w:sz w:val="16"/>
      <w:szCs w:val="16"/>
    </w:rPr>
  </w:style>
  <w:style w:type="paragraph" w:styleId="CommentText">
    <w:name w:val="annotation text"/>
    <w:basedOn w:val="Normal"/>
    <w:link w:val="CommentTextChar"/>
    <w:uiPriority w:val="99"/>
    <w:semiHidden/>
    <w:unhideWhenUsed/>
    <w:rsid w:val="00514E1F"/>
    <w:pPr>
      <w:spacing w:line="240" w:lineRule="auto"/>
    </w:pPr>
    <w:rPr>
      <w:sz w:val="20"/>
      <w:szCs w:val="20"/>
    </w:rPr>
  </w:style>
  <w:style w:type="character" w:customStyle="1" w:styleId="CommentTextChar">
    <w:name w:val="Comment Text Char"/>
    <w:basedOn w:val="DefaultParagraphFont"/>
    <w:link w:val="CommentText"/>
    <w:uiPriority w:val="99"/>
    <w:semiHidden/>
    <w:rsid w:val="00514E1F"/>
    <w:rPr>
      <w:sz w:val="20"/>
      <w:szCs w:val="20"/>
    </w:rPr>
  </w:style>
  <w:style w:type="paragraph" w:styleId="BalloonText">
    <w:name w:val="Balloon Text"/>
    <w:basedOn w:val="Normal"/>
    <w:link w:val="BalloonTextChar"/>
    <w:uiPriority w:val="99"/>
    <w:semiHidden/>
    <w:unhideWhenUsed/>
    <w:rsid w:val="00514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E1F"/>
    <w:rPr>
      <w:rFonts w:ascii="Tahoma" w:hAnsi="Tahoma" w:cs="Tahoma"/>
      <w:sz w:val="16"/>
      <w:szCs w:val="16"/>
    </w:rPr>
  </w:style>
  <w:style w:type="paragraph" w:styleId="ListParagraph">
    <w:name w:val="List Paragraph"/>
    <w:basedOn w:val="Normal"/>
    <w:uiPriority w:val="34"/>
    <w:qFormat/>
    <w:rsid w:val="00297BE8"/>
    <w:pPr>
      <w:ind w:left="720"/>
      <w:contextualSpacing/>
    </w:pPr>
  </w:style>
  <w:style w:type="paragraph" w:styleId="Header">
    <w:name w:val="header"/>
    <w:basedOn w:val="Normal"/>
    <w:link w:val="HeaderChar"/>
    <w:uiPriority w:val="99"/>
    <w:unhideWhenUsed/>
    <w:rsid w:val="00BE0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B9F"/>
  </w:style>
  <w:style w:type="paragraph" w:styleId="Footer">
    <w:name w:val="footer"/>
    <w:basedOn w:val="Normal"/>
    <w:link w:val="FooterChar"/>
    <w:uiPriority w:val="99"/>
    <w:unhideWhenUsed/>
    <w:rsid w:val="00BE0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B9F"/>
  </w:style>
  <w:style w:type="character" w:styleId="Hyperlink">
    <w:name w:val="Hyperlink"/>
    <w:basedOn w:val="DefaultParagraphFont"/>
    <w:uiPriority w:val="99"/>
    <w:unhideWhenUsed/>
    <w:rsid w:val="00FC4804"/>
    <w:rPr>
      <w:color w:val="0000FF" w:themeColor="hyperlink"/>
      <w:u w:val="single"/>
    </w:rPr>
  </w:style>
  <w:style w:type="character" w:styleId="FollowedHyperlink">
    <w:name w:val="FollowedHyperlink"/>
    <w:basedOn w:val="DefaultParagraphFont"/>
    <w:uiPriority w:val="99"/>
    <w:semiHidden/>
    <w:unhideWhenUsed/>
    <w:rsid w:val="00FC480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108AA"/>
    <w:rPr>
      <w:b/>
      <w:bCs/>
    </w:rPr>
  </w:style>
  <w:style w:type="character" w:customStyle="1" w:styleId="CommentSubjectChar">
    <w:name w:val="Comment Subject Char"/>
    <w:basedOn w:val="CommentTextChar"/>
    <w:link w:val="CommentSubject"/>
    <w:uiPriority w:val="99"/>
    <w:semiHidden/>
    <w:rsid w:val="00F108AA"/>
    <w:rPr>
      <w:b/>
      <w:bCs/>
      <w:sz w:val="20"/>
      <w:szCs w:val="20"/>
    </w:rPr>
  </w:style>
  <w:style w:type="paragraph" w:styleId="Revision">
    <w:name w:val="Revision"/>
    <w:hidden/>
    <w:uiPriority w:val="99"/>
    <w:semiHidden/>
    <w:rsid w:val="00CC317E"/>
    <w:pPr>
      <w:spacing w:after="0" w:line="240" w:lineRule="auto"/>
    </w:pPr>
  </w:style>
  <w:style w:type="paragraph" w:customStyle="1" w:styleId="Default">
    <w:name w:val="Default"/>
    <w:rsid w:val="003020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84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59395">
      <w:bodyDiv w:val="1"/>
      <w:marLeft w:val="0"/>
      <w:marRight w:val="0"/>
      <w:marTop w:val="0"/>
      <w:marBottom w:val="0"/>
      <w:divBdr>
        <w:top w:val="none" w:sz="0" w:space="0" w:color="auto"/>
        <w:left w:val="none" w:sz="0" w:space="0" w:color="auto"/>
        <w:bottom w:val="none" w:sz="0" w:space="0" w:color="auto"/>
        <w:right w:val="none" w:sz="0" w:space="0" w:color="auto"/>
      </w:divBdr>
    </w:div>
    <w:div w:id="528445713">
      <w:bodyDiv w:val="1"/>
      <w:marLeft w:val="0"/>
      <w:marRight w:val="0"/>
      <w:marTop w:val="30"/>
      <w:marBottom w:val="750"/>
      <w:divBdr>
        <w:top w:val="none" w:sz="0" w:space="0" w:color="auto"/>
        <w:left w:val="none" w:sz="0" w:space="0" w:color="auto"/>
        <w:bottom w:val="none" w:sz="0" w:space="0" w:color="auto"/>
        <w:right w:val="none" w:sz="0" w:space="0" w:color="auto"/>
      </w:divBdr>
      <w:divsChild>
        <w:div w:id="912353032">
          <w:marLeft w:val="0"/>
          <w:marRight w:val="0"/>
          <w:marTop w:val="0"/>
          <w:marBottom w:val="0"/>
          <w:divBdr>
            <w:top w:val="none" w:sz="0" w:space="0" w:color="auto"/>
            <w:left w:val="none" w:sz="0" w:space="0" w:color="auto"/>
            <w:bottom w:val="none" w:sz="0" w:space="0" w:color="auto"/>
            <w:right w:val="none" w:sz="0" w:space="0" w:color="auto"/>
          </w:divBdr>
        </w:div>
      </w:divsChild>
    </w:div>
    <w:div w:id="198746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po.gov/fdsys/pkg/FR-2012-03-27/pdf/2012-6903.pdf" TargetMode="External"/><Relationship Id="rId18" Type="http://schemas.openxmlformats.org/officeDocument/2006/relationships/hyperlink" Target="http://www.ecfr.gov/cgi-bin/text-idx?c=ecfr&amp;sid=7f5985b5d2fe301f3fd5a6f537e6bfb8&amp;rgn=div5&amp;view=text&amp;node=23:1.0.1.5.11&amp;idno=23" TargetMode="External"/><Relationship Id="rId26" Type="http://schemas.openxmlformats.org/officeDocument/2006/relationships/hyperlink" Target="http://www.ecfr.gov/cgi-bin/text-idx?c=ecfr&amp;sid=7f5985b5d2fe301f3fd5a6f537e6bfb8&amp;rgn=div5&amp;view=text&amp;node=23:1.0.1.5.11&amp;idno=23" TargetMode="External"/><Relationship Id="rId3" Type="http://schemas.openxmlformats.org/officeDocument/2006/relationships/styles" Target="styles.xml"/><Relationship Id="rId21" Type="http://schemas.openxmlformats.org/officeDocument/2006/relationships/hyperlink" Target="http://www.fta.dot.gov/legislation_law/12349_11492.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aw.cornell.edu/uscode/text/49/5303" TargetMode="External"/><Relationship Id="rId17" Type="http://schemas.openxmlformats.org/officeDocument/2006/relationships/hyperlink" Target="http://www.ecfr.gov/cgi-bin/text-idx?c=ecfr&amp;sid=7f5985b5d2fe301f3fd5a6f537e6bfb8&amp;rgn=div5&amp;view=text&amp;node=23:1.0.1.5.11&amp;idno=23" TargetMode="External"/><Relationship Id="rId25" Type="http://schemas.openxmlformats.org/officeDocument/2006/relationships/hyperlink" Target="http://www.gpo.gov/fdsys/pkg/FR-2012-07-18/html/2012-17514.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cfr.gov/cgi-bin/text-idx?c=ecfr&amp;sid=7f5985b5d2fe301f3fd5a6f537e6bfb8&amp;rgn=div5&amp;view=text&amp;node=23:1.0.1.5.11&amp;idno=23" TargetMode="External"/><Relationship Id="rId20" Type="http://schemas.openxmlformats.org/officeDocument/2006/relationships/hyperlink" Target="http://www.law.cornell.edu/uscode/text/49/5305" TargetMode="External"/><Relationship Id="rId29" Type="http://schemas.openxmlformats.org/officeDocument/2006/relationships/hyperlink" Target="http://www.fta.dot.gov/legislation_law/12349_1149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ta.dot.gov/12853_12408.html" TargetMode="External"/><Relationship Id="rId24" Type="http://schemas.openxmlformats.org/officeDocument/2006/relationships/hyperlink" Target="http://www.law.cornell.edu/uscode/text/49/5303" TargetMode="External"/><Relationship Id="rId32" Type="http://schemas.openxmlformats.org/officeDocument/2006/relationships/hyperlink" Target="http://www.planning.dot.gov/focus_transit_attable.asp" TargetMode="External"/><Relationship Id="rId5" Type="http://schemas.openxmlformats.org/officeDocument/2006/relationships/settings" Target="settings.xml"/><Relationship Id="rId15" Type="http://schemas.openxmlformats.org/officeDocument/2006/relationships/hyperlink" Target="http://www.law.cornell.edu/uscode/text/49/5303" TargetMode="External"/><Relationship Id="rId23" Type="http://schemas.openxmlformats.org/officeDocument/2006/relationships/hyperlink" Target="http://www.ecfr.gov/cgi-bin/text-idx?c=ecfr&amp;sid=7f5985b5d2fe301f3fd5a6f537e6bfb8&amp;rgn=div5&amp;view=text&amp;node=23:1.0.1.5.11&amp;idno=23" TargetMode="External"/><Relationship Id="rId28" Type="http://schemas.openxmlformats.org/officeDocument/2006/relationships/hyperlink" Target="http://www.law.cornell.edu/uscode/text/49/5303" TargetMode="External"/><Relationship Id="rId10" Type="http://schemas.openxmlformats.org/officeDocument/2006/relationships/hyperlink" Target="http://www.fta.dot.gov/documents/Census_2010_and_FTA_Formula_Grants10-25-12.pdf" TargetMode="External"/><Relationship Id="rId19" Type="http://schemas.openxmlformats.org/officeDocument/2006/relationships/hyperlink" Target="http://www.fta.dot.gov/documents/FTA_C_8100.1C.pdf" TargetMode="External"/><Relationship Id="rId31" Type="http://schemas.openxmlformats.org/officeDocument/2006/relationships/hyperlink" Target="http://www.planning.dot.gov/documents/TransPlanning/TransTableII.htm" TargetMode="External"/><Relationship Id="rId4" Type="http://schemas.microsoft.com/office/2007/relationships/stylesWithEffects" Target="stylesWithEffects.xml"/><Relationship Id="rId9" Type="http://schemas.openxmlformats.org/officeDocument/2006/relationships/hyperlink" Target="http://www.fhwa.dot.gov/planning/census_issues/urbanized_areas_and_mpo_tma/faq/" TargetMode="External"/><Relationship Id="rId14" Type="http://schemas.openxmlformats.org/officeDocument/2006/relationships/hyperlink" Target="http://www.ecfr.gov/cgi-bin/text-idx?c=ecfr&amp;sid=7f5985b5d2fe301f3fd5a6f537e6bfb8&amp;rgn=div5&amp;view=text&amp;node=23:1.0.1.5.11&amp;idno=23" TargetMode="External"/><Relationship Id="rId22" Type="http://schemas.openxmlformats.org/officeDocument/2006/relationships/hyperlink" Target="http://www.ecfr.gov/cgi-bin/text-idx?c=ecfr&amp;sid=7f5985b5d2fe301f3fd5a6f537e6bfb8&amp;rgn=div5&amp;view=text&amp;node=23:1.0.1.5.11&amp;idno=23" TargetMode="External"/><Relationship Id="rId27" Type="http://schemas.openxmlformats.org/officeDocument/2006/relationships/hyperlink" Target="http://www.ecfr.gov/cgi-bin/text-idx?c=ecfr&amp;sid=7f5985b5d2fe301f3fd5a6f537e6bfb8&amp;rgn=div5&amp;view=text&amp;node=23:1.0.1.5.11&amp;idno=23" TargetMode="External"/><Relationship Id="rId30" Type="http://schemas.openxmlformats.org/officeDocument/2006/relationships/hyperlink" Target="http://www.planning.dot.gov/focus_transit_attable.as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999FB-98E5-4253-B015-F2EBA808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2521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Goodman</dc:creator>
  <cp:lastModifiedBy>Barnea, Avital (FTA)</cp:lastModifiedBy>
  <cp:revision>2</cp:revision>
  <cp:lastPrinted>2013-07-12T14:42:00Z</cp:lastPrinted>
  <dcterms:created xsi:type="dcterms:W3CDTF">2013-09-10T17:39:00Z</dcterms:created>
  <dcterms:modified xsi:type="dcterms:W3CDTF">2013-09-10T17:39:00Z</dcterms:modified>
</cp:coreProperties>
</file>