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6C" w:rsidRDefault="00FC2F6C">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FC2F6C" w:rsidRDefault="00FC2F6C">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C2F6C" w:rsidRDefault="00FC2F6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OF</w:t>
      </w:r>
    </w:p>
    <w:p w:rsidR="00FC2F6C" w:rsidRDefault="00FC2F6C">
      <w:pPr>
        <w:pBdr>
          <w:top w:val="single" w:sz="4" w:space="0" w:color="auto"/>
          <w:left w:val="single" w:sz="4" w:space="4" w:color="auto"/>
          <w:bottom w:val="single" w:sz="4" w:space="1" w:color="auto"/>
          <w:right w:val="single" w:sz="4" w:space="4" w:color="auto"/>
        </w:pBdr>
        <w:spacing w:line="360" w:lineRule="auto"/>
        <w:jc w:val="center"/>
        <w:rPr>
          <w:b/>
          <w:sz w:val="32"/>
        </w:rPr>
      </w:pPr>
      <w:r>
        <w:rPr>
          <w:b/>
          <w:sz w:val="32"/>
        </w:rPr>
        <w:t>City of Fort Collins</w:t>
      </w:r>
    </w:p>
    <w:p w:rsidR="00FC2F6C" w:rsidRDefault="00FC2F6C">
      <w:pPr>
        <w:pBdr>
          <w:top w:val="single" w:sz="4" w:space="0" w:color="auto"/>
          <w:left w:val="single" w:sz="4" w:space="4" w:color="auto"/>
          <w:bottom w:val="single" w:sz="4" w:space="1" w:color="auto"/>
          <w:right w:val="single" w:sz="4" w:space="4" w:color="auto"/>
        </w:pBdr>
        <w:spacing w:line="360" w:lineRule="auto"/>
        <w:jc w:val="center"/>
        <w:rPr>
          <w:b/>
          <w:sz w:val="32"/>
        </w:rPr>
      </w:pPr>
      <w:r>
        <w:rPr>
          <w:b/>
          <w:sz w:val="32"/>
        </w:rPr>
        <w:t>(Transfort)</w:t>
      </w:r>
    </w:p>
    <w:p w:rsidR="00FC2F6C" w:rsidRDefault="00FC2F6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Fort Collins, Colorado</w:t>
      </w:r>
    </w:p>
    <w:p w:rsidR="00FC2F6C" w:rsidRDefault="00FC2F6C">
      <w:pPr>
        <w:spacing w:line="480" w:lineRule="auto"/>
        <w:jc w:val="center"/>
        <w:rPr>
          <w:b/>
          <w:sz w:val="28"/>
        </w:rPr>
      </w:pPr>
    </w:p>
    <w:p w:rsidR="00FC2F6C" w:rsidRDefault="00D1190F">
      <w:pPr>
        <w:spacing w:line="480" w:lineRule="auto"/>
        <w:jc w:val="center"/>
        <w:rPr>
          <w:b/>
          <w:sz w:val="28"/>
        </w:rPr>
      </w:pPr>
      <w:r>
        <w:rPr>
          <w:b/>
          <w:sz w:val="28"/>
        </w:rPr>
        <w:t>Final</w:t>
      </w:r>
      <w:r w:rsidR="00FC2F6C">
        <w:rPr>
          <w:b/>
          <w:sz w:val="28"/>
        </w:rPr>
        <w:t xml:space="preserve"> Report</w:t>
      </w:r>
    </w:p>
    <w:p w:rsidR="00FC2F6C" w:rsidRDefault="00D1190F">
      <w:pPr>
        <w:spacing w:line="480" w:lineRule="auto"/>
        <w:jc w:val="center"/>
        <w:rPr>
          <w:sz w:val="24"/>
        </w:rPr>
      </w:pPr>
      <w:r>
        <w:rPr>
          <w:b/>
          <w:sz w:val="28"/>
        </w:rPr>
        <w:t>February 2010</w:t>
      </w:r>
    </w:p>
    <w:p w:rsidR="00FC2F6C" w:rsidRDefault="00FC2F6C">
      <w:pPr>
        <w:jc w:val="center"/>
        <w:rPr>
          <w:b/>
          <w:sz w:val="28"/>
          <w:szCs w:val="28"/>
        </w:rPr>
      </w:pPr>
      <w:r>
        <w:rPr>
          <w:b/>
          <w:sz w:val="28"/>
          <w:szCs w:val="28"/>
        </w:rPr>
        <w:t>Prepared For</w:t>
      </w:r>
    </w:p>
    <w:p w:rsidR="00FC2F6C" w:rsidRDefault="00FC2F6C">
      <w:pPr>
        <w:jc w:val="center"/>
        <w:rPr>
          <w:b/>
          <w:sz w:val="28"/>
          <w:szCs w:val="28"/>
        </w:rPr>
      </w:pPr>
    </w:p>
    <w:p w:rsidR="00FC2F6C" w:rsidRDefault="00FC2F6C">
      <w:pPr>
        <w:jc w:val="center"/>
        <w:rPr>
          <w:b/>
          <w:sz w:val="28"/>
          <w:szCs w:val="28"/>
        </w:rPr>
      </w:pPr>
      <w:r>
        <w:rPr>
          <w:b/>
          <w:sz w:val="28"/>
          <w:szCs w:val="28"/>
        </w:rPr>
        <w:t>U.S. DEPARTMENT OF TRANSPORATION</w:t>
      </w:r>
    </w:p>
    <w:p w:rsidR="00FC2F6C" w:rsidRDefault="00FC2F6C">
      <w:pPr>
        <w:jc w:val="center"/>
        <w:rPr>
          <w:b/>
          <w:sz w:val="28"/>
          <w:szCs w:val="28"/>
        </w:rPr>
      </w:pPr>
      <w:r>
        <w:rPr>
          <w:b/>
          <w:sz w:val="28"/>
          <w:szCs w:val="28"/>
        </w:rPr>
        <w:t>FEDERAL TRANSIT ADMINISTRATION</w:t>
      </w:r>
    </w:p>
    <w:p w:rsidR="00FC2F6C" w:rsidRDefault="00FC2F6C">
      <w:pPr>
        <w:jc w:val="center"/>
        <w:rPr>
          <w:b/>
          <w:sz w:val="24"/>
        </w:rPr>
      </w:pPr>
      <w:r>
        <w:rPr>
          <w:b/>
          <w:sz w:val="28"/>
          <w:szCs w:val="28"/>
        </w:rPr>
        <w:t>OFFICE OF CIVIL RIGHTS</w:t>
      </w:r>
    </w:p>
    <w:p w:rsidR="00FC2F6C" w:rsidRDefault="00FC2F6C">
      <w:pPr>
        <w:jc w:val="center"/>
        <w:rPr>
          <w:sz w:val="24"/>
        </w:rPr>
      </w:pPr>
    </w:p>
    <w:p w:rsidR="00FC2F6C" w:rsidRDefault="00FC2F6C">
      <w:pPr>
        <w:jc w:val="center"/>
        <w:rPr>
          <w:sz w:val="24"/>
        </w:rPr>
      </w:pPr>
    </w:p>
    <w:p w:rsidR="00FC2F6C" w:rsidRDefault="00FC2F6C">
      <w:pPr>
        <w:jc w:val="center"/>
        <w:rPr>
          <w:sz w:val="24"/>
        </w:rPr>
      </w:pPr>
    </w:p>
    <w:p w:rsidR="00FC2F6C" w:rsidRDefault="00FC2F6C">
      <w:pPr>
        <w:rPr>
          <w:sz w:val="24"/>
        </w:rPr>
      </w:pPr>
    </w:p>
    <w:p w:rsidR="00FC2F6C" w:rsidRDefault="00FC2F6C">
      <w:pPr>
        <w:rPr>
          <w:sz w:val="24"/>
        </w:rPr>
      </w:pPr>
    </w:p>
    <w:p w:rsidR="00FC2F6C" w:rsidRDefault="00FC2F6C">
      <w:pPr>
        <w:jc w:val="center"/>
        <w:rPr>
          <w:b/>
          <w:sz w:val="28"/>
          <w:szCs w:val="28"/>
        </w:rPr>
      </w:pPr>
      <w:r>
        <w:rPr>
          <w:b/>
          <w:sz w:val="28"/>
          <w:szCs w:val="28"/>
        </w:rPr>
        <w:t>Prepared By</w:t>
      </w:r>
    </w:p>
    <w:p w:rsidR="00FC2F6C" w:rsidRDefault="00FC2F6C">
      <w:pPr>
        <w:jc w:val="center"/>
        <w:rPr>
          <w:b/>
          <w:sz w:val="28"/>
          <w:szCs w:val="28"/>
        </w:rPr>
      </w:pPr>
    </w:p>
    <w:p w:rsidR="00FC2F6C" w:rsidRDefault="00FC2F6C">
      <w:pPr>
        <w:jc w:val="center"/>
        <w:rPr>
          <w:b/>
          <w:sz w:val="28"/>
          <w:szCs w:val="28"/>
        </w:rPr>
      </w:pPr>
      <w:r>
        <w:rPr>
          <w:b/>
          <w:sz w:val="28"/>
          <w:szCs w:val="28"/>
        </w:rPr>
        <w:t>THE DMP GROUP, LLC</w:t>
      </w:r>
    </w:p>
    <w:p w:rsidR="00FC2F6C" w:rsidRDefault="00FC2F6C">
      <w:pPr>
        <w:jc w:val="center"/>
        <w:rPr>
          <w:b/>
          <w:sz w:val="28"/>
          <w:szCs w:val="28"/>
        </w:rPr>
      </w:pPr>
      <w:r>
        <w:rPr>
          <w:b/>
          <w:sz w:val="28"/>
          <w:szCs w:val="28"/>
        </w:rPr>
        <w:t>1320 Fenwick Lane, Suite 209</w:t>
      </w:r>
    </w:p>
    <w:p w:rsidR="00FC2F6C" w:rsidRDefault="00FC2F6C">
      <w:pPr>
        <w:jc w:val="center"/>
        <w:rPr>
          <w:b/>
          <w:sz w:val="28"/>
          <w:szCs w:val="28"/>
        </w:rPr>
      </w:pPr>
      <w:r>
        <w:rPr>
          <w:b/>
          <w:sz w:val="28"/>
          <w:szCs w:val="28"/>
        </w:rPr>
        <w:t>Silver Spring, MD 20910</w:t>
      </w:r>
    </w:p>
    <w:p w:rsidR="00FC2F6C" w:rsidRDefault="00FC2F6C">
      <w:pPr>
        <w:jc w:val="center"/>
        <w:rPr>
          <w:b/>
          <w:sz w:val="28"/>
          <w:szCs w:val="28"/>
        </w:rPr>
      </w:pPr>
    </w:p>
    <w:p w:rsidR="00FC2F6C" w:rsidRDefault="00FC2F6C">
      <w:pPr>
        <w:jc w:val="center"/>
        <w:rPr>
          <w:b/>
          <w:i/>
          <w:iCs/>
          <w:sz w:val="24"/>
          <w:u w:val="single"/>
        </w:rPr>
      </w:pPr>
    </w:p>
    <w:p w:rsidR="00FC2F6C" w:rsidRDefault="00FC2F6C">
      <w:pPr>
        <w:jc w:val="center"/>
        <w:rPr>
          <w:sz w:val="24"/>
        </w:rPr>
      </w:pPr>
      <w:r>
        <w:rPr>
          <w:b/>
          <w:sz w:val="24"/>
        </w:rPr>
        <w:br w:type="page"/>
      </w:r>
    </w:p>
    <w:p w:rsidR="00FC2F6C" w:rsidRDefault="00FC2F6C">
      <w:pPr>
        <w:jc w:val="center"/>
        <w:rPr>
          <w:sz w:val="28"/>
          <w:u w:val="single"/>
        </w:rPr>
      </w:pPr>
      <w:r>
        <w:rPr>
          <w:sz w:val="28"/>
          <w:u w:val="single"/>
        </w:rPr>
        <w:lastRenderedPageBreak/>
        <w:t>Table of Contents</w:t>
      </w:r>
    </w:p>
    <w:p w:rsidR="00FC2F6C" w:rsidRDefault="00FC2F6C">
      <w:pPr>
        <w:jc w:val="center"/>
        <w:rPr>
          <w:sz w:val="28"/>
          <w:u w:val="single"/>
        </w:rPr>
      </w:pPr>
    </w:p>
    <w:p w:rsidR="00FC2F6C" w:rsidRDefault="00FC2F6C">
      <w:pPr>
        <w:jc w:val="center"/>
        <w:rPr>
          <w:sz w:val="28"/>
          <w:u w:val="single"/>
        </w:rPr>
      </w:pPr>
    </w:p>
    <w:p w:rsidR="00FC2F6C" w:rsidRDefault="000320D1">
      <w:pPr>
        <w:pStyle w:val="TOC1"/>
        <w:rPr>
          <w:szCs w:val="24"/>
        </w:rPr>
      </w:pPr>
      <w:r>
        <w:rPr>
          <w:sz w:val="28"/>
          <w:szCs w:val="28"/>
        </w:rPr>
        <w:fldChar w:fldCharType="begin"/>
      </w:r>
      <w:r w:rsidR="00FC2F6C">
        <w:rPr>
          <w:sz w:val="28"/>
          <w:szCs w:val="28"/>
        </w:rPr>
        <w:instrText xml:space="preserve"> TOC \o "1-2"  \* MERGEFORMAT </w:instrText>
      </w:r>
      <w:r>
        <w:rPr>
          <w:sz w:val="28"/>
          <w:szCs w:val="28"/>
        </w:rPr>
        <w:fldChar w:fldCharType="separate"/>
      </w:r>
      <w:r w:rsidR="00FC2F6C">
        <w:rPr>
          <w:szCs w:val="24"/>
        </w:rPr>
        <w:t>I.</w:t>
      </w:r>
      <w:r w:rsidR="00FC2F6C">
        <w:rPr>
          <w:szCs w:val="24"/>
        </w:rPr>
        <w:tab/>
      </w:r>
      <w:r w:rsidR="00FC2F6C">
        <w:rPr>
          <w:sz w:val="28"/>
          <w:szCs w:val="24"/>
        </w:rPr>
        <w:t>GENERAL INFORMATION</w:t>
      </w:r>
      <w:r w:rsidR="00FC2F6C">
        <w:tab/>
      </w:r>
      <w:r>
        <w:fldChar w:fldCharType="begin"/>
      </w:r>
      <w:r w:rsidR="00FC2F6C">
        <w:instrText xml:space="preserve"> PAGEREF _Toc201633536 \h </w:instrText>
      </w:r>
      <w:r>
        <w:fldChar w:fldCharType="separate"/>
      </w:r>
      <w:r w:rsidR="004D6676">
        <w:t>1</w:t>
      </w:r>
      <w:r>
        <w:fldChar w:fldCharType="end"/>
      </w:r>
    </w:p>
    <w:p w:rsidR="00FC2F6C" w:rsidRDefault="00FC2F6C">
      <w:pPr>
        <w:pStyle w:val="TOC1"/>
        <w:rPr>
          <w:szCs w:val="24"/>
        </w:rPr>
      </w:pPr>
      <w:r>
        <w:rPr>
          <w:szCs w:val="24"/>
        </w:rPr>
        <w:t>II.</w:t>
      </w:r>
      <w:r>
        <w:rPr>
          <w:szCs w:val="24"/>
        </w:rPr>
        <w:tab/>
      </w:r>
      <w:r>
        <w:rPr>
          <w:sz w:val="28"/>
          <w:szCs w:val="24"/>
        </w:rPr>
        <w:t>JURISDICTION AND AUTHORITIES</w:t>
      </w:r>
      <w:r>
        <w:tab/>
      </w:r>
      <w:r w:rsidR="000320D1">
        <w:fldChar w:fldCharType="begin"/>
      </w:r>
      <w:r>
        <w:instrText xml:space="preserve"> PAGEREF _Toc201633537 \h </w:instrText>
      </w:r>
      <w:r w:rsidR="000320D1">
        <w:fldChar w:fldCharType="separate"/>
      </w:r>
      <w:r w:rsidR="004D6676">
        <w:t>2</w:t>
      </w:r>
      <w:r w:rsidR="000320D1">
        <w:fldChar w:fldCharType="end"/>
      </w:r>
    </w:p>
    <w:p w:rsidR="00FC2F6C" w:rsidRDefault="00FC2F6C">
      <w:pPr>
        <w:pStyle w:val="TOC1"/>
        <w:rPr>
          <w:szCs w:val="24"/>
        </w:rPr>
      </w:pPr>
      <w:r>
        <w:rPr>
          <w:szCs w:val="24"/>
        </w:rPr>
        <w:t>III.</w:t>
      </w:r>
      <w:r>
        <w:rPr>
          <w:szCs w:val="24"/>
        </w:rPr>
        <w:tab/>
      </w:r>
      <w:r>
        <w:rPr>
          <w:sz w:val="28"/>
          <w:szCs w:val="24"/>
        </w:rPr>
        <w:t>PURPOSE AND OBJECTIVES</w:t>
      </w:r>
      <w:r>
        <w:tab/>
      </w:r>
      <w:r w:rsidR="000320D1">
        <w:fldChar w:fldCharType="begin"/>
      </w:r>
      <w:r>
        <w:instrText xml:space="preserve"> PAGEREF _Toc201633538 \h </w:instrText>
      </w:r>
      <w:r w:rsidR="000320D1">
        <w:fldChar w:fldCharType="separate"/>
      </w:r>
      <w:r w:rsidR="004D6676">
        <w:t>3</w:t>
      </w:r>
      <w:r w:rsidR="000320D1">
        <w:fldChar w:fldCharType="end"/>
      </w:r>
    </w:p>
    <w:p w:rsidR="00FC2F6C" w:rsidRDefault="00FC2F6C">
      <w:pPr>
        <w:pStyle w:val="TOC1"/>
        <w:rPr>
          <w:szCs w:val="24"/>
        </w:rPr>
      </w:pPr>
      <w:r>
        <w:rPr>
          <w:sz w:val="28"/>
          <w:szCs w:val="24"/>
        </w:rPr>
        <w:t>IV.</w:t>
      </w:r>
      <w:r>
        <w:rPr>
          <w:szCs w:val="24"/>
        </w:rPr>
        <w:tab/>
      </w:r>
      <w:r>
        <w:rPr>
          <w:sz w:val="28"/>
          <w:szCs w:val="24"/>
        </w:rPr>
        <w:t>BACKGROUND INFORMATION</w:t>
      </w:r>
      <w:r>
        <w:tab/>
      </w:r>
      <w:r w:rsidR="000320D1">
        <w:fldChar w:fldCharType="begin"/>
      </w:r>
      <w:r>
        <w:instrText xml:space="preserve"> PAGEREF _Toc201633539 \h </w:instrText>
      </w:r>
      <w:r w:rsidR="000320D1">
        <w:fldChar w:fldCharType="separate"/>
      </w:r>
      <w:r w:rsidR="004D6676">
        <w:t>5</w:t>
      </w:r>
      <w:r w:rsidR="000320D1">
        <w:fldChar w:fldCharType="end"/>
      </w:r>
    </w:p>
    <w:p w:rsidR="00FC2F6C" w:rsidRDefault="00FC2F6C">
      <w:pPr>
        <w:pStyle w:val="TOC1"/>
        <w:rPr>
          <w:szCs w:val="24"/>
        </w:rPr>
      </w:pPr>
      <w:r>
        <w:rPr>
          <w:sz w:val="28"/>
          <w:szCs w:val="24"/>
        </w:rPr>
        <w:t>V.</w:t>
      </w:r>
      <w:r>
        <w:rPr>
          <w:szCs w:val="24"/>
        </w:rPr>
        <w:tab/>
      </w:r>
      <w:r>
        <w:rPr>
          <w:sz w:val="28"/>
          <w:szCs w:val="24"/>
        </w:rPr>
        <w:t>SCOPE AND METHODOLOGY</w:t>
      </w:r>
      <w:r>
        <w:tab/>
      </w:r>
      <w:r w:rsidR="000320D1">
        <w:fldChar w:fldCharType="begin"/>
      </w:r>
      <w:r>
        <w:instrText xml:space="preserve"> PAGEREF _Toc201633540 \h </w:instrText>
      </w:r>
      <w:r w:rsidR="000320D1">
        <w:fldChar w:fldCharType="separate"/>
      </w:r>
      <w:r w:rsidR="004D6676">
        <w:t>8</w:t>
      </w:r>
      <w:r w:rsidR="000320D1">
        <w:fldChar w:fldCharType="end"/>
      </w:r>
    </w:p>
    <w:p w:rsidR="00FC2F6C" w:rsidRDefault="00FC2F6C">
      <w:pPr>
        <w:pStyle w:val="TOC1"/>
        <w:rPr>
          <w:szCs w:val="24"/>
        </w:rPr>
      </w:pPr>
      <w:r>
        <w:rPr>
          <w:sz w:val="28"/>
          <w:szCs w:val="24"/>
        </w:rPr>
        <w:t xml:space="preserve">VI. </w:t>
      </w:r>
      <w:r>
        <w:rPr>
          <w:szCs w:val="24"/>
        </w:rPr>
        <w:tab/>
      </w:r>
      <w:r>
        <w:rPr>
          <w:sz w:val="28"/>
          <w:szCs w:val="24"/>
        </w:rPr>
        <w:t>FINDINGS AND RECOMMENDATIONS</w:t>
      </w:r>
      <w:r>
        <w:tab/>
      </w:r>
      <w:r w:rsidR="000320D1">
        <w:fldChar w:fldCharType="begin"/>
      </w:r>
      <w:r>
        <w:instrText xml:space="preserve"> PAGEREF _Toc201633541 \h </w:instrText>
      </w:r>
      <w:r w:rsidR="000320D1">
        <w:fldChar w:fldCharType="separate"/>
      </w:r>
      <w:r w:rsidR="004D6676">
        <w:t>16</w:t>
      </w:r>
      <w:r w:rsidR="000320D1">
        <w:fldChar w:fldCharType="end"/>
      </w:r>
    </w:p>
    <w:p w:rsidR="00FC2F6C" w:rsidRDefault="00FC2F6C">
      <w:pPr>
        <w:pStyle w:val="TOC2"/>
        <w:tabs>
          <w:tab w:val="left" w:pos="1200"/>
        </w:tabs>
        <w:rPr>
          <w:szCs w:val="24"/>
        </w:rPr>
      </w:pPr>
      <w:r>
        <w:rPr>
          <w:szCs w:val="24"/>
        </w:rPr>
        <w:t>1.</w:t>
      </w:r>
      <w:r>
        <w:rPr>
          <w:szCs w:val="24"/>
        </w:rPr>
        <w:tab/>
      </w:r>
      <w:r>
        <w:rPr>
          <w:sz w:val="28"/>
          <w:szCs w:val="24"/>
        </w:rPr>
        <w:t>Inclusive Public Participation</w:t>
      </w:r>
      <w:r>
        <w:tab/>
      </w:r>
      <w:r w:rsidR="000320D1">
        <w:fldChar w:fldCharType="begin"/>
      </w:r>
      <w:r>
        <w:instrText xml:space="preserve"> PAGEREF _Toc201633542 \h </w:instrText>
      </w:r>
      <w:r w:rsidR="000320D1">
        <w:fldChar w:fldCharType="separate"/>
      </w:r>
      <w:r w:rsidR="004D6676">
        <w:t>16</w:t>
      </w:r>
      <w:r w:rsidR="000320D1">
        <w:fldChar w:fldCharType="end"/>
      </w:r>
    </w:p>
    <w:p w:rsidR="00FC2F6C" w:rsidRDefault="00FC2F6C">
      <w:pPr>
        <w:pStyle w:val="TOC2"/>
        <w:tabs>
          <w:tab w:val="left" w:pos="1200"/>
        </w:tabs>
        <w:rPr>
          <w:szCs w:val="24"/>
        </w:rPr>
      </w:pPr>
      <w:r>
        <w:rPr>
          <w:szCs w:val="24"/>
        </w:rPr>
        <w:t>2.</w:t>
      </w:r>
      <w:r>
        <w:rPr>
          <w:szCs w:val="24"/>
        </w:rPr>
        <w:tab/>
      </w:r>
      <w:r>
        <w:rPr>
          <w:sz w:val="28"/>
          <w:szCs w:val="24"/>
        </w:rPr>
        <w:t>Language Access to LEP Persons</w:t>
      </w:r>
      <w:r>
        <w:tab/>
      </w:r>
      <w:r w:rsidR="000320D1">
        <w:fldChar w:fldCharType="begin"/>
      </w:r>
      <w:r>
        <w:instrText xml:space="preserve"> PAGEREF _Toc201633543 \h </w:instrText>
      </w:r>
      <w:r w:rsidR="000320D1">
        <w:fldChar w:fldCharType="separate"/>
      </w:r>
      <w:r w:rsidR="004D6676">
        <w:t>19</w:t>
      </w:r>
      <w:r w:rsidR="000320D1">
        <w:fldChar w:fldCharType="end"/>
      </w:r>
    </w:p>
    <w:p w:rsidR="00FC2F6C" w:rsidRDefault="00FC2F6C">
      <w:pPr>
        <w:pStyle w:val="TOC2"/>
        <w:tabs>
          <w:tab w:val="left" w:pos="1200"/>
        </w:tabs>
        <w:rPr>
          <w:szCs w:val="24"/>
        </w:rPr>
      </w:pPr>
      <w:r>
        <w:rPr>
          <w:szCs w:val="24"/>
        </w:rPr>
        <w:t>3.</w:t>
      </w:r>
      <w:r>
        <w:rPr>
          <w:szCs w:val="24"/>
        </w:rPr>
        <w:tab/>
      </w:r>
      <w:r>
        <w:rPr>
          <w:sz w:val="28"/>
          <w:szCs w:val="24"/>
        </w:rPr>
        <w:t>Title VI Complaint Procedures</w:t>
      </w:r>
      <w:r>
        <w:tab/>
      </w:r>
      <w:r w:rsidR="000320D1">
        <w:fldChar w:fldCharType="begin"/>
      </w:r>
      <w:r>
        <w:instrText xml:space="preserve"> PAGEREF _Toc201633544 \h </w:instrText>
      </w:r>
      <w:r w:rsidR="000320D1">
        <w:fldChar w:fldCharType="separate"/>
      </w:r>
      <w:r w:rsidR="004D6676">
        <w:t>20</w:t>
      </w:r>
      <w:r w:rsidR="000320D1">
        <w:fldChar w:fldCharType="end"/>
      </w:r>
    </w:p>
    <w:p w:rsidR="00FC2F6C" w:rsidRDefault="00FC2F6C">
      <w:pPr>
        <w:pStyle w:val="TOC2"/>
        <w:tabs>
          <w:tab w:val="left" w:pos="1200"/>
        </w:tabs>
        <w:rPr>
          <w:szCs w:val="24"/>
        </w:rPr>
      </w:pPr>
      <w:r>
        <w:rPr>
          <w:szCs w:val="24"/>
        </w:rPr>
        <w:t>4.</w:t>
      </w:r>
      <w:r>
        <w:rPr>
          <w:szCs w:val="24"/>
        </w:rPr>
        <w:tab/>
      </w:r>
      <w:r>
        <w:rPr>
          <w:sz w:val="28"/>
          <w:szCs w:val="24"/>
        </w:rPr>
        <w:t>Record of Title VI Investigations, Complaints, and Lawsuits</w:t>
      </w:r>
      <w:r>
        <w:tab/>
      </w:r>
      <w:r w:rsidR="000320D1">
        <w:fldChar w:fldCharType="begin"/>
      </w:r>
      <w:r>
        <w:instrText xml:space="preserve"> PAGEREF _Toc201633545 \h </w:instrText>
      </w:r>
      <w:r w:rsidR="000320D1">
        <w:fldChar w:fldCharType="separate"/>
      </w:r>
      <w:r w:rsidR="004D6676">
        <w:t>21</w:t>
      </w:r>
      <w:r w:rsidR="000320D1">
        <w:fldChar w:fldCharType="end"/>
      </w:r>
    </w:p>
    <w:p w:rsidR="00FC2F6C" w:rsidRDefault="00FC2F6C">
      <w:pPr>
        <w:pStyle w:val="TOC2"/>
        <w:tabs>
          <w:tab w:val="left" w:pos="1200"/>
        </w:tabs>
        <w:rPr>
          <w:szCs w:val="24"/>
        </w:rPr>
      </w:pPr>
      <w:r>
        <w:rPr>
          <w:szCs w:val="24"/>
        </w:rPr>
        <w:t>5.</w:t>
      </w:r>
      <w:r>
        <w:rPr>
          <w:szCs w:val="24"/>
        </w:rPr>
        <w:tab/>
      </w:r>
      <w:r>
        <w:rPr>
          <w:sz w:val="28"/>
          <w:szCs w:val="24"/>
        </w:rPr>
        <w:t>Notice to Beneficiaries of Protection Under Title VI</w:t>
      </w:r>
      <w:r>
        <w:tab/>
      </w:r>
      <w:r w:rsidR="000320D1">
        <w:fldChar w:fldCharType="begin"/>
      </w:r>
      <w:r>
        <w:instrText xml:space="preserve"> PAGEREF _Toc201633546 \h </w:instrText>
      </w:r>
      <w:r w:rsidR="000320D1">
        <w:fldChar w:fldCharType="separate"/>
      </w:r>
      <w:r w:rsidR="004D6676">
        <w:t>22</w:t>
      </w:r>
      <w:r w:rsidR="000320D1">
        <w:fldChar w:fldCharType="end"/>
      </w:r>
    </w:p>
    <w:p w:rsidR="00FC2F6C" w:rsidRDefault="00FC2F6C">
      <w:pPr>
        <w:pStyle w:val="TOC2"/>
        <w:tabs>
          <w:tab w:val="left" w:pos="1200"/>
        </w:tabs>
        <w:rPr>
          <w:szCs w:val="24"/>
        </w:rPr>
      </w:pPr>
      <w:r>
        <w:rPr>
          <w:szCs w:val="24"/>
        </w:rPr>
        <w:t>6.</w:t>
      </w:r>
      <w:r>
        <w:rPr>
          <w:szCs w:val="24"/>
        </w:rPr>
        <w:tab/>
      </w:r>
      <w:r>
        <w:rPr>
          <w:sz w:val="28"/>
          <w:szCs w:val="24"/>
        </w:rPr>
        <w:t>Annual Title VI Certification and Assurance</w:t>
      </w:r>
      <w:r>
        <w:tab/>
      </w:r>
      <w:r w:rsidR="000320D1">
        <w:fldChar w:fldCharType="begin"/>
      </w:r>
      <w:r>
        <w:instrText xml:space="preserve"> PAGEREF _Toc201633547 \h </w:instrText>
      </w:r>
      <w:r w:rsidR="000320D1">
        <w:fldChar w:fldCharType="separate"/>
      </w:r>
      <w:r w:rsidR="004D6676">
        <w:t>24</w:t>
      </w:r>
      <w:r w:rsidR="000320D1">
        <w:fldChar w:fldCharType="end"/>
      </w:r>
    </w:p>
    <w:p w:rsidR="00FC2F6C" w:rsidRDefault="00FC2F6C">
      <w:pPr>
        <w:pStyle w:val="TOC2"/>
        <w:tabs>
          <w:tab w:val="left" w:pos="1200"/>
        </w:tabs>
        <w:rPr>
          <w:szCs w:val="24"/>
        </w:rPr>
      </w:pPr>
      <w:r>
        <w:rPr>
          <w:szCs w:val="24"/>
        </w:rPr>
        <w:t>7.</w:t>
      </w:r>
      <w:r>
        <w:rPr>
          <w:szCs w:val="24"/>
        </w:rPr>
        <w:tab/>
      </w:r>
      <w:r>
        <w:rPr>
          <w:sz w:val="28"/>
          <w:szCs w:val="24"/>
        </w:rPr>
        <w:t>Environmental Justice Analysis of Construction Projects</w:t>
      </w:r>
      <w:r>
        <w:tab/>
      </w:r>
      <w:r w:rsidR="000320D1">
        <w:fldChar w:fldCharType="begin"/>
      </w:r>
      <w:r>
        <w:instrText xml:space="preserve"> PAGEREF _Toc201633548 \h </w:instrText>
      </w:r>
      <w:r w:rsidR="000320D1">
        <w:fldChar w:fldCharType="separate"/>
      </w:r>
      <w:r w:rsidR="004D6676">
        <w:t>25</w:t>
      </w:r>
      <w:r w:rsidR="000320D1">
        <w:fldChar w:fldCharType="end"/>
      </w:r>
    </w:p>
    <w:p w:rsidR="00FC2F6C" w:rsidRDefault="00FC2F6C">
      <w:pPr>
        <w:pStyle w:val="TOC2"/>
        <w:tabs>
          <w:tab w:val="left" w:pos="1200"/>
        </w:tabs>
        <w:rPr>
          <w:szCs w:val="24"/>
        </w:rPr>
      </w:pPr>
      <w:r>
        <w:rPr>
          <w:szCs w:val="24"/>
        </w:rPr>
        <w:t>8.</w:t>
      </w:r>
      <w:r>
        <w:rPr>
          <w:szCs w:val="24"/>
        </w:rPr>
        <w:tab/>
      </w:r>
      <w:r>
        <w:rPr>
          <w:sz w:val="28"/>
          <w:szCs w:val="24"/>
        </w:rPr>
        <w:t>Submit Title VI Program.</w:t>
      </w:r>
      <w:r>
        <w:tab/>
      </w:r>
      <w:r w:rsidR="000320D1">
        <w:fldChar w:fldCharType="begin"/>
      </w:r>
      <w:r>
        <w:instrText xml:space="preserve"> PAGEREF _Toc201633549 \h </w:instrText>
      </w:r>
      <w:r w:rsidR="000320D1">
        <w:fldChar w:fldCharType="separate"/>
      </w:r>
      <w:r w:rsidR="004D6676">
        <w:t>26</w:t>
      </w:r>
      <w:r w:rsidR="000320D1">
        <w:fldChar w:fldCharType="end"/>
      </w:r>
    </w:p>
    <w:p w:rsidR="00FC2F6C" w:rsidRDefault="00FC2F6C">
      <w:pPr>
        <w:pStyle w:val="TOC2"/>
        <w:tabs>
          <w:tab w:val="left" w:pos="1200"/>
        </w:tabs>
        <w:rPr>
          <w:szCs w:val="24"/>
        </w:rPr>
      </w:pPr>
      <w:r>
        <w:rPr>
          <w:szCs w:val="24"/>
        </w:rPr>
        <w:t>9.</w:t>
      </w:r>
      <w:r>
        <w:rPr>
          <w:szCs w:val="24"/>
        </w:rPr>
        <w:tab/>
      </w:r>
      <w:r>
        <w:rPr>
          <w:sz w:val="28"/>
          <w:szCs w:val="24"/>
        </w:rPr>
        <w:t>Demographic Data</w:t>
      </w:r>
      <w:r>
        <w:tab/>
      </w:r>
      <w:r w:rsidR="000320D1">
        <w:fldChar w:fldCharType="begin"/>
      </w:r>
      <w:r>
        <w:instrText xml:space="preserve"> PAGEREF _Toc201633550 \h </w:instrText>
      </w:r>
      <w:r w:rsidR="000320D1">
        <w:fldChar w:fldCharType="separate"/>
      </w:r>
      <w:r w:rsidR="004D6676">
        <w:t>27</w:t>
      </w:r>
      <w:r w:rsidR="000320D1">
        <w:fldChar w:fldCharType="end"/>
      </w:r>
    </w:p>
    <w:p w:rsidR="00FC2F6C" w:rsidRDefault="00FC2F6C">
      <w:pPr>
        <w:pStyle w:val="TOC2"/>
        <w:tabs>
          <w:tab w:val="left" w:pos="1440"/>
        </w:tabs>
        <w:rPr>
          <w:szCs w:val="24"/>
        </w:rPr>
      </w:pPr>
      <w:r>
        <w:rPr>
          <w:szCs w:val="24"/>
        </w:rPr>
        <w:t>10.</w:t>
      </w:r>
      <w:r>
        <w:rPr>
          <w:szCs w:val="24"/>
        </w:rPr>
        <w:tab/>
      </w:r>
      <w:r>
        <w:rPr>
          <w:sz w:val="28"/>
          <w:szCs w:val="24"/>
        </w:rPr>
        <w:t>Systemwide Service Standards and Policies</w:t>
      </w:r>
      <w:r>
        <w:tab/>
      </w:r>
      <w:r w:rsidR="000320D1">
        <w:fldChar w:fldCharType="begin"/>
      </w:r>
      <w:r>
        <w:instrText xml:space="preserve"> PAGEREF _Toc201633551 \h </w:instrText>
      </w:r>
      <w:r w:rsidR="000320D1">
        <w:fldChar w:fldCharType="separate"/>
      </w:r>
      <w:r w:rsidR="004D6676">
        <w:t>28</w:t>
      </w:r>
      <w:r w:rsidR="000320D1">
        <w:fldChar w:fldCharType="end"/>
      </w:r>
    </w:p>
    <w:p w:rsidR="00FC2F6C" w:rsidRDefault="00FC2F6C">
      <w:pPr>
        <w:pStyle w:val="TOC2"/>
        <w:tabs>
          <w:tab w:val="left" w:pos="1440"/>
        </w:tabs>
        <w:rPr>
          <w:szCs w:val="24"/>
        </w:rPr>
      </w:pPr>
      <w:r>
        <w:rPr>
          <w:szCs w:val="24"/>
        </w:rPr>
        <w:t>11.</w:t>
      </w:r>
      <w:r>
        <w:rPr>
          <w:szCs w:val="24"/>
        </w:rPr>
        <w:tab/>
      </w:r>
      <w:r>
        <w:rPr>
          <w:sz w:val="28"/>
          <w:szCs w:val="24"/>
        </w:rPr>
        <w:t>Evaluation of Service and Fare Changes</w:t>
      </w:r>
      <w:r>
        <w:tab/>
      </w:r>
      <w:r w:rsidR="000320D1">
        <w:fldChar w:fldCharType="begin"/>
      </w:r>
      <w:r>
        <w:instrText xml:space="preserve"> PAGEREF _Toc201633552 \h </w:instrText>
      </w:r>
      <w:r w:rsidR="000320D1">
        <w:fldChar w:fldCharType="separate"/>
      </w:r>
      <w:r w:rsidR="004D6676">
        <w:t>30</w:t>
      </w:r>
      <w:r w:rsidR="000320D1">
        <w:fldChar w:fldCharType="end"/>
      </w:r>
    </w:p>
    <w:p w:rsidR="00FC2F6C" w:rsidRDefault="00FC2F6C">
      <w:pPr>
        <w:pStyle w:val="TOC2"/>
        <w:tabs>
          <w:tab w:val="left" w:pos="1440"/>
        </w:tabs>
        <w:rPr>
          <w:szCs w:val="24"/>
        </w:rPr>
      </w:pPr>
      <w:r>
        <w:rPr>
          <w:szCs w:val="24"/>
        </w:rPr>
        <w:t>12.</w:t>
      </w:r>
      <w:r>
        <w:rPr>
          <w:szCs w:val="24"/>
        </w:rPr>
        <w:tab/>
      </w:r>
      <w:r>
        <w:rPr>
          <w:sz w:val="28"/>
          <w:szCs w:val="24"/>
        </w:rPr>
        <w:t>Monitoring Transit Service</w:t>
      </w:r>
      <w:r>
        <w:tab/>
      </w:r>
      <w:r w:rsidR="000320D1">
        <w:fldChar w:fldCharType="begin"/>
      </w:r>
      <w:r>
        <w:instrText xml:space="preserve"> PAGEREF _Toc201633553 \h </w:instrText>
      </w:r>
      <w:r w:rsidR="000320D1">
        <w:fldChar w:fldCharType="separate"/>
      </w:r>
      <w:r w:rsidR="004D6676">
        <w:t>33</w:t>
      </w:r>
      <w:r w:rsidR="000320D1">
        <w:fldChar w:fldCharType="end"/>
      </w:r>
    </w:p>
    <w:p w:rsidR="00FC2F6C" w:rsidRDefault="000320D1">
      <w:pPr>
        <w:pStyle w:val="TOC1"/>
      </w:pPr>
      <w:r>
        <w:rPr>
          <w:sz w:val="28"/>
          <w:szCs w:val="28"/>
        </w:rPr>
        <w:fldChar w:fldCharType="end"/>
      </w:r>
      <w:r w:rsidR="00FC2F6C">
        <w:t xml:space="preserve">VII. </w:t>
      </w:r>
      <w:r w:rsidR="00FC2F6C">
        <w:tab/>
        <w:t>SUMMARY OF FI</w:t>
      </w:r>
      <w:r w:rsidR="00BD1919">
        <w:t>NDINGS AND CORRECTIVE ACTIONS</w:t>
      </w:r>
      <w:r w:rsidR="00BD1919">
        <w:tab/>
        <w:t>36</w:t>
      </w:r>
    </w:p>
    <w:p w:rsidR="00FC2F6C" w:rsidRDefault="00BD1919">
      <w:pPr>
        <w:pStyle w:val="TOC1"/>
      </w:pPr>
      <w:r>
        <w:t>VIII.</w:t>
      </w:r>
      <w:r>
        <w:tab/>
        <w:t>ATTENDEES</w:t>
      </w:r>
      <w:r>
        <w:tab/>
        <w:t>39</w:t>
      </w:r>
    </w:p>
    <w:p w:rsidR="00FC2F6C" w:rsidRDefault="00FC2F6C">
      <w:pPr>
        <w:pStyle w:val="Heading3"/>
        <w:spacing w:line="480" w:lineRule="auto"/>
        <w:rPr>
          <w:bCs/>
        </w:rPr>
      </w:pPr>
    </w:p>
    <w:p w:rsidR="00FC2F6C" w:rsidRDefault="00FC2F6C">
      <w:pPr>
        <w:sectPr w:rsidR="00FC2F6C">
          <w:headerReference w:type="default" r:id="rId7"/>
          <w:footerReference w:type="even" r:id="rId8"/>
          <w:footerReference w:type="default" r:id="rId9"/>
          <w:footerReference w:type="first" r:id="rId10"/>
          <w:pgSz w:w="12240" w:h="15840"/>
          <w:pgMar w:top="1440" w:right="1800" w:bottom="720" w:left="1800" w:header="720" w:footer="144" w:gutter="0"/>
          <w:pgNumType w:start="1"/>
          <w:cols w:space="720"/>
          <w:titlePg/>
        </w:sectPr>
      </w:pPr>
    </w:p>
    <w:p w:rsidR="00FC2F6C" w:rsidRDefault="00FC2F6C" w:rsidP="005804BA">
      <w:pPr>
        <w:pStyle w:val="BHLevel1"/>
        <w:numPr>
          <w:ilvl w:val="0"/>
          <w:numId w:val="20"/>
        </w:numPr>
        <w:rPr>
          <w:sz w:val="28"/>
          <w:szCs w:val="28"/>
        </w:rPr>
      </w:pPr>
      <w:bookmarkStart w:id="0" w:name="_Toc106790237"/>
      <w:bookmarkStart w:id="1" w:name="_Toc201633536"/>
      <w:r>
        <w:rPr>
          <w:sz w:val="28"/>
          <w:szCs w:val="28"/>
        </w:rPr>
        <w:lastRenderedPageBreak/>
        <w:t>GENERAL INFORMATION</w:t>
      </w:r>
      <w:bookmarkEnd w:id="0"/>
      <w:bookmarkEnd w:id="1"/>
    </w:p>
    <w:p w:rsidR="00FC2F6C" w:rsidRDefault="00FC2F6C">
      <w:pPr>
        <w:ind w:left="2880" w:hanging="2880"/>
        <w:rPr>
          <w:sz w:val="28"/>
        </w:rPr>
      </w:pPr>
      <w:r>
        <w:rPr>
          <w:sz w:val="28"/>
        </w:rPr>
        <w:t>Grant Recipient:</w:t>
      </w:r>
      <w:r>
        <w:rPr>
          <w:sz w:val="28"/>
        </w:rPr>
        <w:tab/>
        <w:t>City of Fort Collins</w:t>
      </w:r>
    </w:p>
    <w:p w:rsidR="00FC2F6C" w:rsidRDefault="00FC2F6C">
      <w:pPr>
        <w:ind w:left="2880" w:hanging="2880"/>
        <w:rPr>
          <w:sz w:val="28"/>
          <w:szCs w:val="28"/>
        </w:rPr>
      </w:pPr>
      <w:r>
        <w:rPr>
          <w:sz w:val="28"/>
        </w:rPr>
        <w:t xml:space="preserve">                                          </w:t>
      </w:r>
      <w:r>
        <w:rPr>
          <w:sz w:val="28"/>
          <w:szCs w:val="28"/>
        </w:rPr>
        <w:t>Transfort</w:t>
      </w:r>
    </w:p>
    <w:p w:rsidR="00FC2F6C" w:rsidRDefault="00FC2F6C">
      <w:pPr>
        <w:rPr>
          <w:sz w:val="28"/>
          <w:szCs w:val="28"/>
        </w:rPr>
      </w:pPr>
    </w:p>
    <w:p w:rsidR="00FC2F6C" w:rsidRDefault="00FC2F6C">
      <w:pPr>
        <w:pStyle w:val="NumberList"/>
        <w:rPr>
          <w:noProof w:val="0"/>
          <w:sz w:val="28"/>
        </w:rPr>
      </w:pPr>
      <w:r>
        <w:rPr>
          <w:noProof w:val="0"/>
          <w:sz w:val="28"/>
        </w:rPr>
        <w:t>City/State:</w:t>
      </w:r>
      <w:r>
        <w:rPr>
          <w:noProof w:val="0"/>
          <w:sz w:val="28"/>
        </w:rPr>
        <w:tab/>
      </w:r>
      <w:r>
        <w:rPr>
          <w:noProof w:val="0"/>
          <w:sz w:val="28"/>
        </w:rPr>
        <w:tab/>
      </w:r>
      <w:r>
        <w:rPr>
          <w:noProof w:val="0"/>
          <w:sz w:val="28"/>
        </w:rPr>
        <w:tab/>
        <w:t>Fort Collins, Colorado</w:t>
      </w:r>
    </w:p>
    <w:p w:rsidR="00FC2F6C" w:rsidRDefault="00FC2F6C">
      <w:pPr>
        <w:rPr>
          <w:sz w:val="28"/>
        </w:rPr>
      </w:pPr>
    </w:p>
    <w:p w:rsidR="00FC2F6C" w:rsidRDefault="00FC2F6C">
      <w:pPr>
        <w:rPr>
          <w:sz w:val="28"/>
        </w:rPr>
      </w:pPr>
      <w:r>
        <w:rPr>
          <w:sz w:val="28"/>
        </w:rPr>
        <w:t>Grantee Number:</w:t>
      </w:r>
      <w:r>
        <w:rPr>
          <w:sz w:val="28"/>
        </w:rPr>
        <w:tab/>
      </w:r>
      <w:r>
        <w:rPr>
          <w:sz w:val="28"/>
        </w:rPr>
        <w:tab/>
        <w:t>1138</w:t>
      </w:r>
    </w:p>
    <w:p w:rsidR="00FC2F6C" w:rsidRDefault="00FC2F6C">
      <w:pPr>
        <w:rPr>
          <w:sz w:val="28"/>
        </w:rPr>
      </w:pPr>
    </w:p>
    <w:p w:rsidR="00FC2F6C" w:rsidRDefault="00FC2F6C">
      <w:pPr>
        <w:jc w:val="both"/>
        <w:rPr>
          <w:sz w:val="28"/>
        </w:rPr>
      </w:pPr>
      <w:r>
        <w:rPr>
          <w:sz w:val="28"/>
        </w:rPr>
        <w:t xml:space="preserve">Executive Official:  </w:t>
      </w:r>
      <w:r>
        <w:rPr>
          <w:sz w:val="28"/>
        </w:rPr>
        <w:tab/>
        <w:t>Marlys Sittner</w:t>
      </w:r>
    </w:p>
    <w:p w:rsidR="00FC2F6C" w:rsidRDefault="00FC2F6C">
      <w:pPr>
        <w:ind w:left="2160" w:firstLine="720"/>
        <w:jc w:val="both"/>
        <w:rPr>
          <w:sz w:val="28"/>
        </w:rPr>
      </w:pPr>
      <w:r>
        <w:rPr>
          <w:sz w:val="28"/>
        </w:rPr>
        <w:t>General Manager</w:t>
      </w:r>
    </w:p>
    <w:p w:rsidR="00FC2F6C" w:rsidRDefault="00FC2F6C">
      <w:pPr>
        <w:ind w:left="2880"/>
        <w:jc w:val="both"/>
        <w:rPr>
          <w:sz w:val="28"/>
        </w:rPr>
      </w:pPr>
      <w:r>
        <w:rPr>
          <w:sz w:val="28"/>
        </w:rPr>
        <w:t>6570 Portner Road</w:t>
      </w:r>
    </w:p>
    <w:p w:rsidR="00FC2F6C" w:rsidRDefault="00FC2F6C">
      <w:pPr>
        <w:ind w:left="2160" w:firstLine="720"/>
        <w:jc w:val="both"/>
        <w:rPr>
          <w:sz w:val="28"/>
        </w:rPr>
      </w:pPr>
      <w:r>
        <w:rPr>
          <w:sz w:val="28"/>
        </w:rPr>
        <w:t>Fort Collins, CO 80525</w:t>
      </w:r>
    </w:p>
    <w:p w:rsidR="00FC2F6C" w:rsidRDefault="00FC2F6C">
      <w:pPr>
        <w:jc w:val="both"/>
        <w:rPr>
          <w:sz w:val="28"/>
          <w:szCs w:val="28"/>
        </w:rPr>
      </w:pPr>
    </w:p>
    <w:p w:rsidR="00FC2F6C" w:rsidRDefault="00FC2F6C">
      <w:pPr>
        <w:rPr>
          <w:sz w:val="28"/>
          <w:szCs w:val="28"/>
        </w:rPr>
      </w:pPr>
      <w:r>
        <w:rPr>
          <w:sz w:val="28"/>
          <w:szCs w:val="28"/>
        </w:rPr>
        <w:t>Report Prepared By:</w:t>
      </w:r>
      <w:r>
        <w:rPr>
          <w:sz w:val="28"/>
          <w:szCs w:val="28"/>
        </w:rPr>
        <w:tab/>
        <w:t>THE DMP GROUP, LLC</w:t>
      </w:r>
    </w:p>
    <w:p w:rsidR="00FC2F6C" w:rsidRDefault="00FC2F6C">
      <w:pPr>
        <w:rPr>
          <w:sz w:val="28"/>
          <w:szCs w:val="28"/>
        </w:rPr>
      </w:pPr>
      <w:r>
        <w:rPr>
          <w:sz w:val="28"/>
          <w:szCs w:val="28"/>
        </w:rPr>
        <w:tab/>
      </w:r>
      <w:r>
        <w:rPr>
          <w:sz w:val="28"/>
          <w:szCs w:val="28"/>
        </w:rPr>
        <w:tab/>
      </w:r>
      <w:r>
        <w:rPr>
          <w:sz w:val="28"/>
          <w:szCs w:val="28"/>
        </w:rPr>
        <w:tab/>
      </w:r>
      <w:r>
        <w:rPr>
          <w:sz w:val="28"/>
          <w:szCs w:val="28"/>
        </w:rPr>
        <w:tab/>
        <w:t>1320 Fenwick Lane, Suite 209</w:t>
      </w:r>
    </w:p>
    <w:p w:rsidR="00FC2F6C" w:rsidRDefault="00FC2F6C">
      <w:pPr>
        <w:rPr>
          <w:sz w:val="28"/>
          <w:szCs w:val="28"/>
        </w:rPr>
      </w:pPr>
      <w:r>
        <w:rPr>
          <w:sz w:val="28"/>
          <w:szCs w:val="28"/>
        </w:rPr>
        <w:tab/>
      </w:r>
      <w:r>
        <w:rPr>
          <w:sz w:val="28"/>
          <w:szCs w:val="28"/>
        </w:rPr>
        <w:tab/>
      </w:r>
      <w:r>
        <w:rPr>
          <w:sz w:val="28"/>
          <w:szCs w:val="28"/>
        </w:rPr>
        <w:tab/>
      </w:r>
      <w:r>
        <w:rPr>
          <w:sz w:val="28"/>
          <w:szCs w:val="28"/>
        </w:rPr>
        <w:tab/>
        <w:t>Silver Spring, MD 20910</w:t>
      </w:r>
    </w:p>
    <w:p w:rsidR="00FC2F6C" w:rsidRDefault="00FC2F6C">
      <w:pPr>
        <w:rPr>
          <w:sz w:val="28"/>
          <w:szCs w:val="28"/>
        </w:rPr>
      </w:pPr>
    </w:p>
    <w:p w:rsidR="00FC2F6C" w:rsidRDefault="00FC2F6C">
      <w:pPr>
        <w:rPr>
          <w:sz w:val="28"/>
          <w:szCs w:val="28"/>
        </w:rPr>
      </w:pPr>
      <w:r>
        <w:rPr>
          <w:sz w:val="28"/>
          <w:szCs w:val="28"/>
        </w:rPr>
        <w:t>Site Visit Dates:</w:t>
      </w:r>
      <w:r>
        <w:rPr>
          <w:sz w:val="28"/>
          <w:szCs w:val="28"/>
        </w:rPr>
        <w:tab/>
      </w:r>
      <w:r>
        <w:rPr>
          <w:sz w:val="28"/>
          <w:szCs w:val="28"/>
        </w:rPr>
        <w:tab/>
        <w:t>October 6-8, 2009</w:t>
      </w:r>
    </w:p>
    <w:p w:rsidR="00FC2F6C" w:rsidRDefault="00FC2F6C">
      <w:pPr>
        <w:rPr>
          <w:sz w:val="28"/>
          <w:szCs w:val="28"/>
        </w:rPr>
      </w:pPr>
    </w:p>
    <w:p w:rsidR="00FC2F6C" w:rsidRDefault="00FC2F6C">
      <w:pPr>
        <w:rPr>
          <w:sz w:val="28"/>
          <w:szCs w:val="28"/>
        </w:rPr>
      </w:pPr>
      <w:r>
        <w:rPr>
          <w:sz w:val="28"/>
          <w:szCs w:val="28"/>
        </w:rPr>
        <w:t xml:space="preserve">Compliance Review </w:t>
      </w:r>
    </w:p>
    <w:p w:rsidR="00FC2F6C" w:rsidRDefault="00FC2F6C">
      <w:pPr>
        <w:rPr>
          <w:sz w:val="28"/>
          <w:szCs w:val="28"/>
        </w:rPr>
      </w:pPr>
      <w:r>
        <w:rPr>
          <w:sz w:val="28"/>
          <w:szCs w:val="28"/>
        </w:rPr>
        <w:t>Team Members:</w:t>
      </w:r>
      <w:r>
        <w:rPr>
          <w:sz w:val="28"/>
          <w:szCs w:val="28"/>
        </w:rPr>
        <w:tab/>
      </w:r>
      <w:r>
        <w:rPr>
          <w:sz w:val="28"/>
          <w:szCs w:val="28"/>
        </w:rPr>
        <w:tab/>
        <w:t>John Potts, Lead Reviewer</w:t>
      </w:r>
    </w:p>
    <w:p w:rsidR="00FC2F6C" w:rsidRDefault="00FC2F6C">
      <w:pPr>
        <w:ind w:left="2160" w:firstLine="720"/>
        <w:rPr>
          <w:sz w:val="28"/>
          <w:szCs w:val="28"/>
        </w:rPr>
      </w:pPr>
      <w:r>
        <w:rPr>
          <w:sz w:val="28"/>
          <w:szCs w:val="28"/>
        </w:rPr>
        <w:t>Khalique Davis, Reviewer</w:t>
      </w:r>
    </w:p>
    <w:p w:rsidR="00FC2F6C" w:rsidRDefault="00FC2F6C">
      <w:pPr>
        <w:ind w:left="2160" w:firstLine="720"/>
        <w:rPr>
          <w:sz w:val="28"/>
          <w:szCs w:val="28"/>
        </w:rPr>
      </w:pPr>
      <w:r>
        <w:rPr>
          <w:sz w:val="28"/>
          <w:szCs w:val="28"/>
        </w:rPr>
        <w:t>Don Lucas, Reviewer</w:t>
      </w:r>
    </w:p>
    <w:p w:rsidR="00FC2F6C" w:rsidRDefault="00FC2F6C">
      <w:pPr>
        <w:rPr>
          <w:sz w:val="28"/>
          <w:szCs w:val="28"/>
        </w:rPr>
      </w:pPr>
      <w:r>
        <w:rPr>
          <w:sz w:val="28"/>
          <w:szCs w:val="28"/>
        </w:rPr>
        <w:tab/>
      </w:r>
      <w:r>
        <w:rPr>
          <w:sz w:val="28"/>
          <w:szCs w:val="28"/>
        </w:rPr>
        <w:tab/>
      </w:r>
      <w:r>
        <w:rPr>
          <w:sz w:val="28"/>
          <w:szCs w:val="28"/>
        </w:rPr>
        <w:tab/>
      </w:r>
      <w:r>
        <w:rPr>
          <w:sz w:val="28"/>
          <w:szCs w:val="28"/>
        </w:rPr>
        <w:tab/>
      </w:r>
    </w:p>
    <w:p w:rsidR="00FC2F6C" w:rsidRDefault="00FC2F6C">
      <w:pPr>
        <w:rPr>
          <w:sz w:val="28"/>
          <w:szCs w:val="28"/>
        </w:rPr>
      </w:pPr>
      <w:r>
        <w:rPr>
          <w:sz w:val="28"/>
          <w:szCs w:val="28"/>
        </w:rPr>
        <w:t xml:space="preserve">                   </w:t>
      </w:r>
      <w:r>
        <w:rPr>
          <w:sz w:val="28"/>
          <w:szCs w:val="28"/>
        </w:rPr>
        <w:tab/>
      </w:r>
      <w:r>
        <w:rPr>
          <w:sz w:val="28"/>
          <w:szCs w:val="28"/>
        </w:rPr>
        <w:tab/>
      </w:r>
      <w:r>
        <w:rPr>
          <w:sz w:val="28"/>
          <w:szCs w:val="28"/>
        </w:rPr>
        <w:tab/>
      </w:r>
    </w:p>
    <w:p w:rsidR="00FC2F6C" w:rsidRDefault="00FC2F6C">
      <w:pPr>
        <w:rPr>
          <w:sz w:val="24"/>
        </w:rPr>
      </w:pPr>
      <w:r>
        <w:rPr>
          <w:sz w:val="28"/>
          <w:szCs w:val="28"/>
        </w:rPr>
        <w:br w:type="page"/>
      </w:r>
    </w:p>
    <w:p w:rsidR="00FC2F6C" w:rsidRDefault="00F05785" w:rsidP="005804BA">
      <w:pPr>
        <w:pStyle w:val="BHLevel1"/>
        <w:numPr>
          <w:ilvl w:val="0"/>
          <w:numId w:val="20"/>
        </w:numPr>
        <w:rPr>
          <w:sz w:val="28"/>
          <w:szCs w:val="28"/>
        </w:rPr>
      </w:pPr>
      <w:bookmarkStart w:id="2" w:name="_Toc106790238"/>
      <w:bookmarkStart w:id="3" w:name="_Toc201633537"/>
      <w:r w:rsidRPr="00F05785">
        <w:rPr>
          <w:sz w:val="28"/>
          <w:szCs w:val="28"/>
          <w:u w:val="none"/>
        </w:rPr>
        <w:lastRenderedPageBreak/>
        <w:t xml:space="preserve">   </w:t>
      </w:r>
      <w:r w:rsidR="00FC2F6C">
        <w:rPr>
          <w:sz w:val="28"/>
          <w:szCs w:val="28"/>
        </w:rPr>
        <w:t>JURISDICTION AND AUTHORITIES</w:t>
      </w:r>
      <w:bookmarkEnd w:id="2"/>
      <w:bookmarkEnd w:id="3"/>
    </w:p>
    <w:p w:rsidR="00FC2F6C" w:rsidRDefault="00FC2F6C">
      <w:pPr>
        <w:spacing w:line="360" w:lineRule="auto"/>
        <w:rPr>
          <w:sz w:val="28"/>
          <w:szCs w:val="28"/>
        </w:rPr>
      </w:pPr>
    </w:p>
    <w:p w:rsidR="00FC2F6C" w:rsidRDefault="00FC2F6C">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City of Fort Collins, Colorado public transit system, Transfort, is a recipient of FTA funding assistance and is therefore subject to the Title VI compliance conditions associated with the use of these funds pursuant to the following: </w:t>
      </w:r>
    </w:p>
    <w:p w:rsidR="00FC2F6C" w:rsidRDefault="00FC2F6C" w:rsidP="00FC2F6C">
      <w:pPr>
        <w:numPr>
          <w:ilvl w:val="0"/>
          <w:numId w:val="8"/>
        </w:numPr>
        <w:spacing w:after="120"/>
        <w:jc w:val="both"/>
        <w:rPr>
          <w:sz w:val="28"/>
        </w:rPr>
      </w:pPr>
      <w:r>
        <w:rPr>
          <w:sz w:val="28"/>
        </w:rPr>
        <w:t xml:space="preserve">Title VI of the Civil Rights Act of 1964 (42 U.S.C. Section 2000d). </w:t>
      </w:r>
    </w:p>
    <w:p w:rsidR="00FC2F6C" w:rsidRDefault="00FC2F6C" w:rsidP="00FC2F6C">
      <w:pPr>
        <w:numPr>
          <w:ilvl w:val="0"/>
          <w:numId w:val="8"/>
        </w:numPr>
        <w:spacing w:after="120"/>
        <w:jc w:val="both"/>
        <w:rPr>
          <w:sz w:val="28"/>
        </w:rPr>
      </w:pPr>
      <w:r>
        <w:rPr>
          <w:sz w:val="28"/>
        </w:rPr>
        <w:t xml:space="preserve">Federal Transit Laws, as amended (49 U.S.C. Chapter 53 et seq.). </w:t>
      </w:r>
    </w:p>
    <w:p w:rsidR="00FC2F6C" w:rsidRDefault="00FC2F6C" w:rsidP="00FC2F6C">
      <w:pPr>
        <w:numPr>
          <w:ilvl w:val="0"/>
          <w:numId w:val="8"/>
        </w:numPr>
        <w:spacing w:after="120"/>
        <w:jc w:val="both"/>
        <w:rPr>
          <w:sz w:val="28"/>
        </w:rPr>
      </w:pPr>
      <w:r>
        <w:rPr>
          <w:sz w:val="28"/>
        </w:rPr>
        <w:t xml:space="preserve">Uniform Relocation Assistance and Real Property Acquisition Policies Act of 1970, as amended (42 U.S.C. 4601, et seq.). </w:t>
      </w:r>
    </w:p>
    <w:p w:rsidR="00FC2F6C" w:rsidRDefault="00FC2F6C" w:rsidP="00FC2F6C">
      <w:pPr>
        <w:numPr>
          <w:ilvl w:val="0"/>
          <w:numId w:val="8"/>
        </w:numPr>
        <w:spacing w:after="120"/>
        <w:jc w:val="both"/>
        <w:rPr>
          <w:sz w:val="28"/>
        </w:rPr>
      </w:pPr>
      <w:r>
        <w:rPr>
          <w:sz w:val="28"/>
        </w:rPr>
        <w:t xml:space="preserve">Department of Justice regulation, 28 CFR part 42, Subpart F, “Coordination of Enforcement of Nondiscrimination in Federally-Assisted Programs” (December 1, 1976, unless otherwise noted). </w:t>
      </w:r>
    </w:p>
    <w:p w:rsidR="00FC2F6C" w:rsidRDefault="00FC2F6C" w:rsidP="00FC2F6C">
      <w:pPr>
        <w:numPr>
          <w:ilvl w:val="0"/>
          <w:numId w:val="8"/>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FC2F6C" w:rsidRDefault="00FC2F6C" w:rsidP="00FC2F6C">
      <w:pPr>
        <w:numPr>
          <w:ilvl w:val="0"/>
          <w:numId w:val="8"/>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FC2F6C" w:rsidRDefault="00FC2F6C" w:rsidP="00FC2F6C">
      <w:pPr>
        <w:numPr>
          <w:ilvl w:val="0"/>
          <w:numId w:val="8"/>
        </w:numPr>
        <w:spacing w:after="120"/>
        <w:jc w:val="both"/>
        <w:rPr>
          <w:sz w:val="28"/>
        </w:rPr>
      </w:pPr>
      <w:r>
        <w:rPr>
          <w:sz w:val="28"/>
        </w:rPr>
        <w:t xml:space="preserve">DOT Policy Guidance Concerning Recipients’ Responsibilities to Limited English Proficient Persons, (December 14, 2005). </w:t>
      </w:r>
    </w:p>
    <w:p w:rsidR="00FC2F6C" w:rsidRDefault="00FC2F6C" w:rsidP="00FC2F6C">
      <w:pPr>
        <w:numPr>
          <w:ilvl w:val="0"/>
          <w:numId w:val="8"/>
        </w:numPr>
        <w:jc w:val="both"/>
        <w:rPr>
          <w:bCs/>
          <w:sz w:val="28"/>
          <w:szCs w:val="28"/>
        </w:rPr>
      </w:pPr>
      <w:r>
        <w:rPr>
          <w:sz w:val="28"/>
        </w:rPr>
        <w:t>FTA Circular 4702.1A, “</w:t>
      </w:r>
      <w:r>
        <w:rPr>
          <w:bCs/>
          <w:sz w:val="28"/>
        </w:rPr>
        <w:t>Title VI and Title VI-Dependent Guidelines For Federal Transit Administration Recipients”, May 17, 2007.</w:t>
      </w:r>
    </w:p>
    <w:p w:rsidR="00FC2F6C" w:rsidRDefault="00FC2F6C">
      <w:pPr>
        <w:spacing w:line="360" w:lineRule="auto"/>
        <w:jc w:val="both"/>
        <w:rPr>
          <w:sz w:val="28"/>
          <w:szCs w:val="28"/>
        </w:rPr>
      </w:pPr>
    </w:p>
    <w:p w:rsidR="00FC2F6C" w:rsidRDefault="00FC2F6C" w:rsidP="005804BA">
      <w:pPr>
        <w:pStyle w:val="BHLevel1"/>
        <w:numPr>
          <w:ilvl w:val="0"/>
          <w:numId w:val="20"/>
        </w:numPr>
        <w:rPr>
          <w:sz w:val="28"/>
        </w:rPr>
      </w:pPr>
      <w:bookmarkStart w:id="4" w:name="_Toc106790239"/>
      <w:r>
        <w:rPr>
          <w:sz w:val="28"/>
        </w:rPr>
        <w:br w:type="page"/>
      </w:r>
      <w:bookmarkStart w:id="5" w:name="_Toc201633538"/>
      <w:r>
        <w:rPr>
          <w:sz w:val="28"/>
        </w:rPr>
        <w:lastRenderedPageBreak/>
        <w:t>PURPOSE AND OBJECTIVES</w:t>
      </w:r>
      <w:bookmarkEnd w:id="4"/>
      <w:bookmarkEnd w:id="5"/>
      <w:r>
        <w:rPr>
          <w:sz w:val="28"/>
        </w:rPr>
        <w:t xml:space="preserve"> </w:t>
      </w:r>
    </w:p>
    <w:p w:rsidR="00FC2F6C" w:rsidRDefault="00FC2F6C"/>
    <w:p w:rsidR="00FC2F6C" w:rsidRDefault="00FC2F6C">
      <w:pPr>
        <w:pStyle w:val="Heading4"/>
        <w:rPr>
          <w:sz w:val="28"/>
        </w:rPr>
      </w:pPr>
      <w:r>
        <w:rPr>
          <w:sz w:val="28"/>
        </w:rPr>
        <w:t>Purpose</w:t>
      </w:r>
    </w:p>
    <w:p w:rsidR="00FC2F6C" w:rsidRDefault="00FC2F6C"/>
    <w:p w:rsidR="00FC2F6C" w:rsidRDefault="00FC2F6C">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Transfort’s Title VI Program was necessary.  </w:t>
      </w:r>
    </w:p>
    <w:p w:rsidR="00FC2F6C" w:rsidRDefault="00FC2F6C">
      <w:pPr>
        <w:spacing w:line="360" w:lineRule="auto"/>
        <w:rPr>
          <w:b/>
          <w:sz w:val="28"/>
          <w:szCs w:val="28"/>
        </w:rPr>
      </w:pPr>
    </w:p>
    <w:p w:rsidR="00FC2F6C" w:rsidRDefault="00FC2F6C">
      <w:pPr>
        <w:spacing w:line="360" w:lineRule="auto"/>
        <w:rPr>
          <w:sz w:val="28"/>
        </w:rPr>
      </w:pPr>
      <w:r>
        <w:rPr>
          <w:sz w:val="28"/>
          <w:szCs w:val="28"/>
        </w:rPr>
        <w:t>The Office of Civil Rights authorized The DMP Group, LLC to conduct the Title VI Compliance Review of Transfort.  The primary purpose of this Compliance Review was to determine the extent to which Transfort has met its General Reporting and Program-Specific Requirements,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Transfort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Transfort</w:t>
      </w:r>
      <w:r>
        <w:rPr>
          <w:sz w:val="28"/>
        </w:rPr>
        <w:t>.</w:t>
      </w:r>
    </w:p>
    <w:p w:rsidR="00FC2F6C" w:rsidRDefault="00FC2F6C">
      <w:pPr>
        <w:pStyle w:val="Heading4"/>
        <w:spacing w:line="360" w:lineRule="auto"/>
        <w:rPr>
          <w:sz w:val="28"/>
          <w:szCs w:val="28"/>
        </w:rPr>
      </w:pPr>
    </w:p>
    <w:p w:rsidR="00FC2F6C" w:rsidRDefault="00FC2F6C">
      <w:pPr>
        <w:pStyle w:val="Heading4"/>
        <w:spacing w:line="360" w:lineRule="auto"/>
        <w:rPr>
          <w:sz w:val="28"/>
          <w:szCs w:val="28"/>
        </w:rPr>
      </w:pPr>
      <w:r>
        <w:rPr>
          <w:sz w:val="28"/>
          <w:szCs w:val="28"/>
        </w:rPr>
        <w:t>Objectives</w:t>
      </w:r>
    </w:p>
    <w:p w:rsidR="00FC2F6C" w:rsidRDefault="00FC2F6C">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C2F6C" w:rsidRDefault="00FC2F6C">
      <w:pPr>
        <w:spacing w:line="360" w:lineRule="auto"/>
        <w:rPr>
          <w:sz w:val="28"/>
          <w:szCs w:val="28"/>
        </w:rPr>
      </w:pPr>
    </w:p>
    <w:p w:rsidR="00FC2F6C" w:rsidRDefault="00FC2F6C">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C2F6C" w:rsidRDefault="00FC2F6C">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C2F6C" w:rsidRDefault="00FC2F6C">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C2F6C" w:rsidRDefault="00FC2F6C">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C2F6C" w:rsidRDefault="00FC2F6C">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FC2F6C" w:rsidRDefault="00FC2F6C">
      <w:pPr>
        <w:pStyle w:val="BHLevel1"/>
        <w:tabs>
          <w:tab w:val="clear" w:pos="720"/>
        </w:tabs>
        <w:spacing w:line="360" w:lineRule="auto"/>
        <w:ind w:left="360" w:firstLine="0"/>
        <w:rPr>
          <w:sz w:val="28"/>
          <w:szCs w:val="28"/>
        </w:rPr>
      </w:pPr>
      <w:bookmarkStart w:id="6" w:name="_Toc177111266"/>
      <w:r>
        <w:rPr>
          <w:sz w:val="28"/>
          <w:szCs w:val="28"/>
        </w:rPr>
        <w:br w:type="page"/>
      </w:r>
      <w:bookmarkStart w:id="7" w:name="_Toc106790240"/>
      <w:bookmarkStart w:id="8" w:name="_Toc201633539"/>
      <w:r>
        <w:rPr>
          <w:sz w:val="28"/>
          <w:szCs w:val="28"/>
          <w:u w:val="none"/>
        </w:rPr>
        <w:lastRenderedPageBreak/>
        <w:t>IV.</w:t>
      </w:r>
      <w:r>
        <w:rPr>
          <w:sz w:val="28"/>
          <w:szCs w:val="28"/>
          <w:u w:val="none"/>
        </w:rPr>
        <w:tab/>
      </w:r>
      <w:r>
        <w:rPr>
          <w:sz w:val="28"/>
          <w:szCs w:val="28"/>
        </w:rPr>
        <w:t>BACKGROUND INFORMATION</w:t>
      </w:r>
    </w:p>
    <w:p w:rsidR="00FC2F6C" w:rsidRDefault="00FC2F6C">
      <w:pPr>
        <w:pStyle w:val="ListContinue2"/>
        <w:spacing w:after="0" w:line="360" w:lineRule="auto"/>
        <w:ind w:left="0"/>
        <w:rPr>
          <w:sz w:val="28"/>
        </w:rPr>
      </w:pPr>
      <w:r>
        <w:rPr>
          <w:sz w:val="28"/>
        </w:rPr>
        <w:t>The City of Fort Collins public transit system, known as Transfort, directly operates fixed-route service and paratransit service known as Dial-A-Ride.  The City also contracts with Shamrock Taxi to supplement City-provided paratransit service.  The network of 13 fixed routes operates weekdays and Saturdays from 6:14 a.m. to 7:20 p.m.  One of the routes provides connector service to the City of Loveland.  Paratransit service, which is open to ADA-certified individuals and persons 60 years and older, operates Mondays through Thursdays from 6:14 a.m. to 12:30 a.m. and Fridays and Saturdays from 6:14 a.m. to 2:30 a.m.</w:t>
      </w:r>
    </w:p>
    <w:p w:rsidR="00FC2F6C" w:rsidRDefault="00FC2F6C">
      <w:pPr>
        <w:pStyle w:val="ListContinue2"/>
        <w:spacing w:after="0" w:line="360" w:lineRule="auto"/>
        <w:ind w:left="0" w:firstLine="720"/>
        <w:rPr>
          <w:sz w:val="28"/>
        </w:rPr>
      </w:pPr>
    </w:p>
    <w:p w:rsidR="00FC2F6C" w:rsidRDefault="00FC2F6C">
      <w:pPr>
        <w:pStyle w:val="ListContinue2"/>
        <w:spacing w:after="0" w:line="360" w:lineRule="auto"/>
        <w:ind w:left="0"/>
        <w:rPr>
          <w:sz w:val="28"/>
        </w:rPr>
      </w:pPr>
      <w:r>
        <w:rPr>
          <w:sz w:val="28"/>
        </w:rPr>
        <w:t>The full cash fare for fixed-route service is $1.25.  A reduced fare of $0.60 is offered to senior citizens, persons with disabilities, and Medicare cardholders during all hours.  Colorado State University students and children 17 years old and younger ride free.  The paratransit fare is $2.50.  Regular Transfort riders may purchase a ten-ride ticket, a monthly pass, and an annual employer pass.  Transfort riders who are senior citizens, persons with disabilities, and Medicare cardholders may purchase annual passes.  Dial-A-Ride patrons may purchase a 33-ride ticket.</w:t>
      </w:r>
    </w:p>
    <w:p w:rsidR="00FC2F6C" w:rsidRDefault="00FC2F6C">
      <w:pPr>
        <w:pStyle w:val="ListContinue2"/>
        <w:spacing w:after="0" w:line="360" w:lineRule="auto"/>
        <w:ind w:left="0" w:firstLine="720"/>
        <w:rPr>
          <w:sz w:val="28"/>
        </w:rPr>
      </w:pPr>
    </w:p>
    <w:p w:rsidR="00FC2F6C" w:rsidRDefault="00FC2F6C">
      <w:pPr>
        <w:pStyle w:val="ListContinue2"/>
        <w:spacing w:after="0" w:line="360" w:lineRule="auto"/>
        <w:ind w:left="0"/>
        <w:rPr>
          <w:sz w:val="28"/>
        </w:rPr>
      </w:pPr>
      <w:r>
        <w:rPr>
          <w:sz w:val="28"/>
        </w:rPr>
        <w:t>The City operates a fleet of 23 standard 30-, 35-, and 40-foot transit coaches in fixed-route service.  The current peak requirement is 18 vehicles.  The City paratransit fleet consists of 13 vans.</w:t>
      </w:r>
    </w:p>
    <w:p w:rsidR="00FC2F6C" w:rsidRDefault="00FC2F6C">
      <w:pPr>
        <w:pStyle w:val="ListContinue2"/>
        <w:spacing w:after="0" w:line="360" w:lineRule="auto"/>
        <w:ind w:left="0" w:firstLine="720"/>
        <w:rPr>
          <w:sz w:val="28"/>
        </w:rPr>
      </w:pPr>
    </w:p>
    <w:p w:rsidR="00FC2F6C" w:rsidRDefault="00FC2F6C">
      <w:pPr>
        <w:pStyle w:val="ListContinue2"/>
        <w:spacing w:after="0" w:line="360" w:lineRule="auto"/>
        <w:ind w:left="0"/>
        <w:rPr>
          <w:sz w:val="28"/>
        </w:rPr>
      </w:pPr>
      <w:r>
        <w:rPr>
          <w:sz w:val="28"/>
        </w:rPr>
        <w:t xml:space="preserve">Transfort operates from a single maintenance and administration facility on Portner Street in Fort Collins.  Its services are oriented around three transit </w:t>
      </w:r>
      <w:r>
        <w:rPr>
          <w:sz w:val="28"/>
        </w:rPr>
        <w:lastRenderedPageBreak/>
        <w:t>centers, one in downtown Fort Collins, one on the Colorado State University campus, and one in the southern part of the City.</w:t>
      </w:r>
    </w:p>
    <w:p w:rsidR="00FC2F6C" w:rsidRDefault="00FC2F6C">
      <w:pPr>
        <w:pStyle w:val="ListContinue2"/>
        <w:spacing w:after="0" w:line="360" w:lineRule="auto"/>
        <w:ind w:left="0"/>
        <w:rPr>
          <w:sz w:val="28"/>
        </w:rPr>
      </w:pPr>
    </w:p>
    <w:p w:rsidR="00FC2F6C" w:rsidRDefault="00FC2F6C">
      <w:pPr>
        <w:pStyle w:val="ListContinue2"/>
        <w:spacing w:after="0" w:line="360" w:lineRule="auto"/>
        <w:ind w:left="0"/>
        <w:rPr>
          <w:sz w:val="28"/>
        </w:rPr>
      </w:pPr>
      <w:r>
        <w:rPr>
          <w:sz w:val="28"/>
        </w:rPr>
        <w:t>Transfort’s 2008 Annual Report provided the following financial and operating statistics for its fixed-route and paratransit service:</w:t>
      </w:r>
    </w:p>
    <w:p w:rsidR="00FC2F6C" w:rsidRDefault="00FC2F6C">
      <w:pPr>
        <w:pStyle w:val="ListContinue2"/>
        <w:spacing w:after="0"/>
        <w:ind w:left="0"/>
        <w:rPr>
          <w:sz w:val="28"/>
        </w:rPr>
      </w:pPr>
    </w:p>
    <w:p w:rsidR="00FC2F6C" w:rsidRDefault="00FC2F6C">
      <w:pPr>
        <w:pStyle w:val="ListContinue2"/>
        <w:spacing w:after="0"/>
        <w:rPr>
          <w:sz w:val="28"/>
        </w:rPr>
      </w:pPr>
    </w:p>
    <w:tbl>
      <w:tblPr>
        <w:tblW w:w="0" w:type="auto"/>
        <w:jc w:val="center"/>
        <w:tblInd w:w="-1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379"/>
        <w:gridCol w:w="2412"/>
        <w:gridCol w:w="2412"/>
      </w:tblGrid>
      <w:tr w:rsidR="00FC2F6C" w:rsidTr="005804BA">
        <w:trPr>
          <w:jc w:val="center"/>
        </w:trPr>
        <w:tc>
          <w:tcPr>
            <w:tcW w:w="3379" w:type="dxa"/>
            <w:tcBorders>
              <w:top w:val="double" w:sz="4" w:space="0" w:color="auto"/>
              <w:bottom w:val="double" w:sz="4" w:space="0" w:color="auto"/>
            </w:tcBorders>
            <w:shd w:val="pct10" w:color="auto" w:fill="auto"/>
          </w:tcPr>
          <w:p w:rsidR="00FC2F6C" w:rsidRDefault="00FC2F6C">
            <w:pPr>
              <w:spacing w:before="20" w:after="20"/>
              <w:rPr>
                <w:b/>
                <w:bCs/>
                <w:sz w:val="28"/>
                <w:u w:val="single"/>
              </w:rPr>
            </w:pPr>
          </w:p>
        </w:tc>
        <w:tc>
          <w:tcPr>
            <w:tcW w:w="2412" w:type="dxa"/>
            <w:tcBorders>
              <w:top w:val="double" w:sz="4" w:space="0" w:color="auto"/>
              <w:bottom w:val="double" w:sz="4" w:space="0" w:color="auto"/>
            </w:tcBorders>
            <w:shd w:val="pct10" w:color="auto" w:fill="auto"/>
          </w:tcPr>
          <w:p w:rsidR="00FC2F6C" w:rsidRDefault="00FC2F6C" w:rsidP="005804BA">
            <w:pPr>
              <w:pStyle w:val="ListContinue2"/>
              <w:ind w:left="210" w:firstLine="90"/>
              <w:jc w:val="center"/>
              <w:rPr>
                <w:b/>
                <w:bCs/>
                <w:sz w:val="28"/>
              </w:rPr>
            </w:pPr>
            <w:r>
              <w:rPr>
                <w:b/>
                <w:bCs/>
                <w:sz w:val="28"/>
              </w:rPr>
              <w:t>Fixed-</w:t>
            </w:r>
            <w:r w:rsidR="005804BA">
              <w:rPr>
                <w:b/>
                <w:bCs/>
                <w:sz w:val="28"/>
              </w:rPr>
              <w:t>R</w:t>
            </w:r>
            <w:r>
              <w:rPr>
                <w:b/>
                <w:bCs/>
                <w:sz w:val="28"/>
              </w:rPr>
              <w:t>oute Service</w:t>
            </w:r>
          </w:p>
        </w:tc>
        <w:tc>
          <w:tcPr>
            <w:tcW w:w="2412" w:type="dxa"/>
            <w:tcBorders>
              <w:top w:val="double" w:sz="4" w:space="0" w:color="auto"/>
              <w:bottom w:val="double" w:sz="4" w:space="0" w:color="auto"/>
            </w:tcBorders>
            <w:shd w:val="pct10" w:color="auto" w:fill="auto"/>
          </w:tcPr>
          <w:p w:rsidR="00FC2F6C" w:rsidRDefault="00FC2F6C" w:rsidP="005804BA">
            <w:pPr>
              <w:pStyle w:val="ListContinue2"/>
              <w:jc w:val="center"/>
              <w:rPr>
                <w:b/>
                <w:bCs/>
                <w:sz w:val="28"/>
              </w:rPr>
            </w:pPr>
            <w:r>
              <w:rPr>
                <w:b/>
                <w:bCs/>
                <w:sz w:val="28"/>
              </w:rPr>
              <w:t>Paratransit Service</w:t>
            </w:r>
          </w:p>
        </w:tc>
      </w:tr>
      <w:tr w:rsidR="00FC2F6C" w:rsidTr="005804BA">
        <w:trPr>
          <w:jc w:val="center"/>
        </w:trPr>
        <w:tc>
          <w:tcPr>
            <w:tcW w:w="3379" w:type="dxa"/>
            <w:tcBorders>
              <w:top w:val="double" w:sz="4" w:space="0" w:color="auto"/>
            </w:tcBorders>
          </w:tcPr>
          <w:p w:rsidR="00FC2F6C" w:rsidRDefault="00FC2F6C">
            <w:pPr>
              <w:pStyle w:val="ListContinue2"/>
              <w:rPr>
                <w:sz w:val="28"/>
              </w:rPr>
            </w:pPr>
            <w:r>
              <w:rPr>
                <w:sz w:val="28"/>
              </w:rPr>
              <w:t>Total Passengers</w:t>
            </w:r>
          </w:p>
        </w:tc>
        <w:tc>
          <w:tcPr>
            <w:tcW w:w="2412" w:type="dxa"/>
            <w:tcBorders>
              <w:top w:val="double" w:sz="4" w:space="0" w:color="auto"/>
            </w:tcBorders>
          </w:tcPr>
          <w:p w:rsidR="00FC2F6C" w:rsidRDefault="00FC2F6C" w:rsidP="005804BA">
            <w:pPr>
              <w:pStyle w:val="ListContinue2"/>
              <w:jc w:val="right"/>
              <w:rPr>
                <w:sz w:val="28"/>
              </w:rPr>
            </w:pPr>
            <w:r>
              <w:rPr>
                <w:sz w:val="28"/>
              </w:rPr>
              <w:t>1,840,000</w:t>
            </w:r>
          </w:p>
        </w:tc>
        <w:tc>
          <w:tcPr>
            <w:tcW w:w="2412" w:type="dxa"/>
            <w:tcBorders>
              <w:top w:val="double" w:sz="4" w:space="0" w:color="auto"/>
            </w:tcBorders>
          </w:tcPr>
          <w:p w:rsidR="00FC2F6C" w:rsidRDefault="00FC2F6C" w:rsidP="005804BA">
            <w:pPr>
              <w:pStyle w:val="ListContinue2"/>
              <w:jc w:val="right"/>
              <w:rPr>
                <w:sz w:val="28"/>
              </w:rPr>
            </w:pPr>
            <w:r>
              <w:rPr>
                <w:sz w:val="28"/>
              </w:rPr>
              <w:t>44,000</w:t>
            </w:r>
          </w:p>
        </w:tc>
      </w:tr>
      <w:tr w:rsidR="00FC2F6C" w:rsidTr="005804BA">
        <w:trPr>
          <w:jc w:val="center"/>
        </w:trPr>
        <w:tc>
          <w:tcPr>
            <w:tcW w:w="3379" w:type="dxa"/>
          </w:tcPr>
          <w:p w:rsidR="00FC2F6C" w:rsidRDefault="00FC2F6C">
            <w:pPr>
              <w:pStyle w:val="ListContinue2"/>
              <w:rPr>
                <w:sz w:val="28"/>
              </w:rPr>
            </w:pPr>
            <w:r>
              <w:rPr>
                <w:sz w:val="28"/>
              </w:rPr>
              <w:t>Passengers Per Hours</w:t>
            </w:r>
          </w:p>
        </w:tc>
        <w:tc>
          <w:tcPr>
            <w:tcW w:w="2412" w:type="dxa"/>
          </w:tcPr>
          <w:p w:rsidR="00FC2F6C" w:rsidRDefault="00FC2F6C" w:rsidP="005804BA">
            <w:pPr>
              <w:pStyle w:val="ListContinue2"/>
              <w:jc w:val="right"/>
              <w:rPr>
                <w:sz w:val="28"/>
              </w:rPr>
            </w:pPr>
            <w:r>
              <w:rPr>
                <w:sz w:val="28"/>
              </w:rPr>
              <w:t>27.6</w:t>
            </w:r>
          </w:p>
        </w:tc>
        <w:tc>
          <w:tcPr>
            <w:tcW w:w="2412" w:type="dxa"/>
          </w:tcPr>
          <w:p w:rsidR="00FC2F6C" w:rsidRDefault="00FC2F6C" w:rsidP="005804BA">
            <w:pPr>
              <w:pStyle w:val="ListContinue2"/>
              <w:jc w:val="right"/>
              <w:rPr>
                <w:sz w:val="28"/>
              </w:rPr>
            </w:pPr>
            <w:r>
              <w:rPr>
                <w:sz w:val="28"/>
              </w:rPr>
              <w:t>2.6</w:t>
            </w:r>
          </w:p>
        </w:tc>
      </w:tr>
      <w:tr w:rsidR="00FC2F6C" w:rsidTr="005804BA">
        <w:trPr>
          <w:jc w:val="center"/>
        </w:trPr>
        <w:tc>
          <w:tcPr>
            <w:tcW w:w="3379" w:type="dxa"/>
          </w:tcPr>
          <w:p w:rsidR="00FC2F6C" w:rsidRDefault="00FC2F6C">
            <w:pPr>
              <w:pStyle w:val="ListContinue2"/>
              <w:rPr>
                <w:sz w:val="28"/>
              </w:rPr>
            </w:pPr>
            <w:r>
              <w:rPr>
                <w:sz w:val="28"/>
              </w:rPr>
              <w:t>Operating Expenses</w:t>
            </w:r>
          </w:p>
        </w:tc>
        <w:tc>
          <w:tcPr>
            <w:tcW w:w="2412" w:type="dxa"/>
          </w:tcPr>
          <w:p w:rsidR="00FC2F6C" w:rsidRDefault="00FC2F6C" w:rsidP="005804BA">
            <w:pPr>
              <w:pStyle w:val="ListContinue2"/>
              <w:jc w:val="right"/>
              <w:rPr>
                <w:sz w:val="28"/>
              </w:rPr>
            </w:pPr>
            <w:r>
              <w:rPr>
                <w:sz w:val="28"/>
              </w:rPr>
              <w:t>$6,051,728</w:t>
            </w:r>
          </w:p>
        </w:tc>
        <w:tc>
          <w:tcPr>
            <w:tcW w:w="2412" w:type="dxa"/>
          </w:tcPr>
          <w:p w:rsidR="00FC2F6C" w:rsidRDefault="00FC2F6C" w:rsidP="005804BA">
            <w:pPr>
              <w:pStyle w:val="ListContinue2"/>
              <w:jc w:val="right"/>
              <w:rPr>
                <w:sz w:val="28"/>
              </w:rPr>
            </w:pPr>
            <w:r>
              <w:rPr>
                <w:sz w:val="28"/>
              </w:rPr>
              <w:t>$1,742,994</w:t>
            </w:r>
          </w:p>
        </w:tc>
      </w:tr>
    </w:tbl>
    <w:p w:rsidR="00FC2F6C" w:rsidRDefault="00FC2F6C">
      <w:pPr>
        <w:rPr>
          <w:b/>
          <w:sz w:val="28"/>
          <w:u w:val="single"/>
        </w:rPr>
      </w:pPr>
    </w:p>
    <w:p w:rsidR="00FC2F6C" w:rsidRDefault="00FC2F6C">
      <w:pPr>
        <w:pStyle w:val="ListContinue2"/>
        <w:spacing w:after="0" w:line="360" w:lineRule="auto"/>
        <w:ind w:left="0" w:firstLine="720"/>
        <w:rPr>
          <w:sz w:val="28"/>
        </w:rPr>
      </w:pPr>
    </w:p>
    <w:p w:rsidR="00FC2F6C" w:rsidRDefault="00FC2F6C">
      <w:pPr>
        <w:pStyle w:val="ListContinue2"/>
        <w:spacing w:after="0" w:line="360" w:lineRule="auto"/>
        <w:ind w:left="0"/>
        <w:rPr>
          <w:sz w:val="28"/>
        </w:rPr>
      </w:pPr>
      <w:r>
        <w:rPr>
          <w:sz w:val="28"/>
        </w:rPr>
        <w:t>With the 2000 Census, the Fort Collins region became a transportation management area (TMA).  Included in the TMA are the cities of Loveland (population 55,00</w:t>
      </w:r>
      <w:r w:rsidR="005804BA">
        <w:rPr>
          <w:sz w:val="28"/>
        </w:rPr>
        <w:t>0) and Berthoud (population 15,</w:t>
      </w:r>
      <w:r>
        <w:rPr>
          <w:sz w:val="28"/>
        </w:rPr>
        <w:t xml:space="preserve">000), both of which had </w:t>
      </w:r>
      <w:r w:rsidR="005804BA">
        <w:rPr>
          <w:sz w:val="28"/>
        </w:rPr>
        <w:t xml:space="preserve">previously </w:t>
      </w:r>
      <w:r>
        <w:rPr>
          <w:sz w:val="28"/>
        </w:rPr>
        <w:t xml:space="preserve">received Section 5311 assistance from the Colorado Department of Transportation.  The City of Fort Collins is the designated recipient for the TMA.  Annually since 2003, the City had applied for and passed through Section 5307 funds to Loveland and Berthoud.  In fiscal year 2009, the City stopped applying for funds on behalf of Loveland and Berthoud. </w:t>
      </w:r>
      <w:r w:rsidR="005804BA">
        <w:rPr>
          <w:sz w:val="28"/>
        </w:rPr>
        <w:t xml:space="preserve"> </w:t>
      </w:r>
      <w:r>
        <w:rPr>
          <w:sz w:val="28"/>
        </w:rPr>
        <w:t>Instead, the City entered into supplemental agreements with them, allowing them to apply directly to FTA for Section 5307 funds.</w:t>
      </w:r>
    </w:p>
    <w:p w:rsidR="00FC2F6C" w:rsidRDefault="00FC2F6C">
      <w:pPr>
        <w:pStyle w:val="ListContinue2"/>
        <w:spacing w:after="0" w:line="360" w:lineRule="auto"/>
        <w:ind w:left="0" w:firstLine="720"/>
        <w:rPr>
          <w:sz w:val="28"/>
        </w:rPr>
      </w:pPr>
    </w:p>
    <w:p w:rsidR="00FC2F6C" w:rsidRDefault="00FC2F6C">
      <w:pPr>
        <w:pStyle w:val="ListContinue2"/>
        <w:spacing w:after="0" w:line="360" w:lineRule="auto"/>
        <w:ind w:left="0"/>
        <w:rPr>
          <w:sz w:val="28"/>
        </w:rPr>
      </w:pPr>
      <w:r>
        <w:rPr>
          <w:sz w:val="28"/>
        </w:rPr>
        <w:t>In August 2006, the City completed Phase 2 of construction of the transit center at Colorado State U</w:t>
      </w:r>
      <w:r w:rsidR="005804BA">
        <w:rPr>
          <w:sz w:val="28"/>
        </w:rPr>
        <w:t>niversity, which included an in</w:t>
      </w:r>
      <w:r>
        <w:rPr>
          <w:sz w:val="28"/>
        </w:rPr>
        <w:t xml:space="preserve">door waiting area, bus bays, offices, retail space, and a lobby. </w:t>
      </w:r>
    </w:p>
    <w:p w:rsidR="00FC2F6C" w:rsidRDefault="00FC2F6C">
      <w:pPr>
        <w:autoSpaceDE w:val="0"/>
        <w:autoSpaceDN w:val="0"/>
        <w:adjustRightInd w:val="0"/>
        <w:spacing w:line="360" w:lineRule="auto"/>
        <w:rPr>
          <w:sz w:val="28"/>
          <w:szCs w:val="24"/>
        </w:rPr>
      </w:pPr>
      <w:r>
        <w:rPr>
          <w:sz w:val="28"/>
          <w:szCs w:val="24"/>
        </w:rPr>
        <w:lastRenderedPageBreak/>
        <w:t xml:space="preserve">The City of Fort Collins received a FTA grant for a Bus Rapid Transit (BRT) component of the Mason Corridor project in Fort Collins, Colorado. </w:t>
      </w:r>
    </w:p>
    <w:p w:rsidR="00FC2F6C" w:rsidRDefault="00FC2F6C">
      <w:pPr>
        <w:autoSpaceDE w:val="0"/>
        <w:autoSpaceDN w:val="0"/>
        <w:adjustRightInd w:val="0"/>
        <w:spacing w:line="360" w:lineRule="auto"/>
        <w:rPr>
          <w:sz w:val="28"/>
          <w:szCs w:val="24"/>
        </w:rPr>
      </w:pPr>
      <w:r>
        <w:rPr>
          <w:sz w:val="28"/>
          <w:szCs w:val="24"/>
        </w:rPr>
        <w:t xml:space="preserve">The Mason Corridor/Mason Express (MAX) BRT Project is a north-south BRT system in the central area of Fort Collins.  The project corridor extends from Cherry Street on the north to approximately 1/4 mile south of Harmony Road, with a total length of five miles. The BRT system will be within an exclusive guideway for 3.6 miles, with the remaining 1.4 miles intermixed with street traffic on portions of McClelland Drive and Mason Street. </w:t>
      </w:r>
      <w:r w:rsidR="00F05785">
        <w:rPr>
          <w:sz w:val="28"/>
          <w:szCs w:val="24"/>
        </w:rPr>
        <w:t xml:space="preserve"> </w:t>
      </w:r>
      <w:r>
        <w:rPr>
          <w:sz w:val="28"/>
          <w:szCs w:val="24"/>
        </w:rPr>
        <w:t xml:space="preserve">Along the entire length of the corridor, the BRT system runs parallel to the existing Burlington Northern Santa Fe (BNSF) railroad tracks, however, at varying locations, the BRT system will be within a combination of property owned by the BNSF, City of Fort Collins, Colorado State University, and private land owners.  In addition, the BRT system will be just west of and parallel to College Avenue (US 287), one of the busiest arterials within the City and the entire North Front Range region. The idea of the Mason Corridor/MAX BRT Project emerged in response to the existing and projected congestion along College Avenue as well as an opportunity to provide alternative modes of travel to the automobile. </w:t>
      </w:r>
    </w:p>
    <w:p w:rsidR="00FC2F6C" w:rsidRDefault="00FC2F6C">
      <w:pPr>
        <w:autoSpaceDE w:val="0"/>
        <w:autoSpaceDN w:val="0"/>
        <w:adjustRightInd w:val="0"/>
        <w:spacing w:line="360" w:lineRule="auto"/>
        <w:rPr>
          <w:sz w:val="28"/>
          <w:szCs w:val="24"/>
        </w:rPr>
      </w:pPr>
    </w:p>
    <w:p w:rsidR="00FC2F6C" w:rsidRDefault="00FC2F6C">
      <w:pPr>
        <w:pStyle w:val="ListContinue2"/>
        <w:spacing w:line="360" w:lineRule="auto"/>
        <w:ind w:left="0"/>
        <w:rPr>
          <w:sz w:val="28"/>
        </w:rPr>
      </w:pPr>
      <w:r>
        <w:rPr>
          <w:sz w:val="28"/>
        </w:rPr>
        <w:t>The demographics of the City of Fort Collins and Larimer County are shown in Table 1.  According to the 2000 Census, the City of Fort Collins had a predomina</w:t>
      </w:r>
      <w:r w:rsidR="005804BA">
        <w:rPr>
          <w:sz w:val="28"/>
        </w:rPr>
        <w:t>nce of White residents at 89.6 percent</w:t>
      </w:r>
      <w:r>
        <w:rPr>
          <w:sz w:val="28"/>
        </w:rPr>
        <w:t>, a Black population at one percent, persons of Hispanic or Latino origin at 8.8 percent, and an Asian population at 2.5 percent.  About 9.9 percent of the population was Limited English Proficient and 14 percent of the population was considered low-income. Larimer County</w:t>
      </w:r>
      <w:r w:rsidR="001E6A59">
        <w:rPr>
          <w:sz w:val="28"/>
        </w:rPr>
        <w:t>, including the City of Fort Collins,</w:t>
      </w:r>
      <w:r>
        <w:rPr>
          <w:sz w:val="28"/>
        </w:rPr>
        <w:t xml:space="preserve"> also had a predominance of White residents at 91.4 percent, a Black population at less than one percent, </w:t>
      </w:r>
      <w:r>
        <w:rPr>
          <w:sz w:val="28"/>
        </w:rPr>
        <w:lastRenderedPageBreak/>
        <w:t>persons of Hispanic origin at 8.3 percent, and an Asian population at 1.6 percent.  About 8.5 percent of the population was Limited English Proficient and 9.2 percent was considered low-income.</w:t>
      </w:r>
    </w:p>
    <w:p w:rsidR="00FC2F6C" w:rsidRDefault="00FC2F6C">
      <w:pPr>
        <w:pStyle w:val="ListContinue2"/>
        <w:spacing w:after="0"/>
        <w:ind w:left="0"/>
        <w:jc w:val="center"/>
        <w:rPr>
          <w:b/>
          <w:sz w:val="32"/>
          <w:szCs w:val="32"/>
        </w:rPr>
      </w:pPr>
      <w:r>
        <w:rPr>
          <w:b/>
          <w:sz w:val="32"/>
          <w:szCs w:val="32"/>
        </w:rPr>
        <w:t>Table 1 – Demographics of the Transfort Service Area</w:t>
      </w:r>
    </w:p>
    <w:p w:rsidR="00FC2F6C" w:rsidRDefault="00FC2F6C">
      <w:pPr>
        <w:jc w:val="center"/>
        <w:rPr>
          <w:b/>
          <w:sz w:val="28"/>
          <w:szCs w:val="28"/>
        </w:rPr>
      </w:pPr>
    </w:p>
    <w:p w:rsidR="00FC2F6C" w:rsidRDefault="00FC2F6C">
      <w:pPr>
        <w:jc w:val="center"/>
        <w:rPr>
          <w:b/>
          <w:sz w:val="28"/>
          <w:szCs w:val="28"/>
        </w:rPr>
      </w:pPr>
      <w:r>
        <w:rPr>
          <w:b/>
          <w:sz w:val="28"/>
          <w:szCs w:val="28"/>
        </w:rPr>
        <w:t xml:space="preserve">Racial/ Ethnic Breakdown of the </w:t>
      </w:r>
    </w:p>
    <w:p w:rsidR="00FC2F6C" w:rsidRDefault="00FC2F6C">
      <w:pPr>
        <w:jc w:val="center"/>
        <w:rPr>
          <w:b/>
          <w:sz w:val="28"/>
          <w:szCs w:val="28"/>
        </w:rPr>
      </w:pPr>
      <w:r>
        <w:rPr>
          <w:b/>
          <w:sz w:val="28"/>
          <w:szCs w:val="28"/>
        </w:rPr>
        <w:t>City of Fort Collins and Larimer County areas</w:t>
      </w:r>
    </w:p>
    <w:p w:rsidR="00FC2F6C" w:rsidRDefault="00FC2F6C">
      <w:pPr>
        <w:jc w:val="center"/>
        <w:rPr>
          <w:b/>
          <w:sz w:val="28"/>
          <w:szCs w:val="28"/>
        </w:rPr>
      </w:pPr>
    </w:p>
    <w:p w:rsidR="00FC2F6C" w:rsidRDefault="00FC2F6C">
      <w:pPr>
        <w:pStyle w:val="Heading9"/>
        <w:spacing w:line="360" w:lineRule="auto"/>
        <w:rPr>
          <w:bCs/>
          <w:sz w:val="28"/>
          <w:szCs w:val="28"/>
        </w:rPr>
      </w:pPr>
      <w:r>
        <w:rPr>
          <w:bCs/>
          <w:sz w:val="28"/>
          <w:szCs w:val="28"/>
        </w:rPr>
        <w:t>Source: 2000 U.S. Census</w:t>
      </w:r>
    </w:p>
    <w:tbl>
      <w:tblPr>
        <w:tblW w:w="10006" w:type="dxa"/>
        <w:jc w:val="center"/>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1295"/>
        <w:gridCol w:w="1260"/>
        <w:gridCol w:w="1440"/>
        <w:gridCol w:w="1260"/>
        <w:gridCol w:w="1260"/>
        <w:gridCol w:w="1170"/>
      </w:tblGrid>
      <w:tr w:rsidR="00FC2F6C">
        <w:trPr>
          <w:cantSplit/>
          <w:jc w:val="center"/>
        </w:trPr>
        <w:tc>
          <w:tcPr>
            <w:tcW w:w="2321" w:type="dxa"/>
            <w:vMerge w:val="restart"/>
          </w:tcPr>
          <w:p w:rsidR="00FC2F6C" w:rsidRDefault="00FC2F6C">
            <w:pPr>
              <w:pStyle w:val="ReferenceLine"/>
              <w:rPr>
                <w:b/>
                <w:bCs/>
                <w:szCs w:val="24"/>
              </w:rPr>
            </w:pPr>
            <w:r>
              <w:rPr>
                <w:b/>
                <w:bCs/>
                <w:szCs w:val="24"/>
              </w:rPr>
              <w:t>Racial/ Ethnic Group</w:t>
            </w:r>
          </w:p>
        </w:tc>
        <w:tc>
          <w:tcPr>
            <w:tcW w:w="2555" w:type="dxa"/>
            <w:gridSpan w:val="2"/>
          </w:tcPr>
          <w:p w:rsidR="00FC2F6C" w:rsidRDefault="00FC2F6C">
            <w:pPr>
              <w:pStyle w:val="Heading4"/>
              <w:jc w:val="center"/>
              <w:rPr>
                <w:szCs w:val="24"/>
              </w:rPr>
            </w:pPr>
            <w:r>
              <w:rPr>
                <w:szCs w:val="24"/>
              </w:rPr>
              <w:t>City of Fort Collins</w:t>
            </w:r>
          </w:p>
        </w:tc>
        <w:tc>
          <w:tcPr>
            <w:tcW w:w="2700" w:type="dxa"/>
            <w:gridSpan w:val="2"/>
          </w:tcPr>
          <w:p w:rsidR="00FC2F6C" w:rsidRDefault="00FC2F6C">
            <w:pPr>
              <w:pStyle w:val="Heading4"/>
              <w:jc w:val="center"/>
              <w:rPr>
                <w:szCs w:val="24"/>
              </w:rPr>
            </w:pPr>
            <w:r>
              <w:rPr>
                <w:szCs w:val="24"/>
              </w:rPr>
              <w:t>Rest of Larimer County</w:t>
            </w:r>
          </w:p>
        </w:tc>
        <w:tc>
          <w:tcPr>
            <w:tcW w:w="2430" w:type="dxa"/>
            <w:gridSpan w:val="2"/>
          </w:tcPr>
          <w:p w:rsidR="00FC2F6C" w:rsidRDefault="001E6A59">
            <w:pPr>
              <w:pStyle w:val="Heading4"/>
              <w:jc w:val="center"/>
              <w:rPr>
                <w:szCs w:val="24"/>
              </w:rPr>
            </w:pPr>
            <w:r>
              <w:rPr>
                <w:szCs w:val="24"/>
              </w:rPr>
              <w:t>Total</w:t>
            </w:r>
          </w:p>
        </w:tc>
      </w:tr>
      <w:tr w:rsidR="00FC2F6C">
        <w:trPr>
          <w:cantSplit/>
          <w:jc w:val="center"/>
        </w:trPr>
        <w:tc>
          <w:tcPr>
            <w:tcW w:w="2321" w:type="dxa"/>
            <w:vMerge/>
          </w:tcPr>
          <w:p w:rsidR="00FC2F6C" w:rsidRDefault="00FC2F6C">
            <w:pPr>
              <w:pStyle w:val="Heading4"/>
              <w:rPr>
                <w:b w:val="0"/>
                <w:szCs w:val="24"/>
              </w:rPr>
            </w:pPr>
          </w:p>
        </w:tc>
        <w:tc>
          <w:tcPr>
            <w:tcW w:w="1295" w:type="dxa"/>
          </w:tcPr>
          <w:p w:rsidR="00FC2F6C" w:rsidRDefault="00FC2F6C">
            <w:pPr>
              <w:jc w:val="center"/>
              <w:rPr>
                <w:b/>
                <w:sz w:val="24"/>
              </w:rPr>
            </w:pPr>
            <w:r>
              <w:rPr>
                <w:b/>
                <w:sz w:val="24"/>
              </w:rPr>
              <w:t>Number</w:t>
            </w:r>
          </w:p>
        </w:tc>
        <w:tc>
          <w:tcPr>
            <w:tcW w:w="1260" w:type="dxa"/>
          </w:tcPr>
          <w:p w:rsidR="00FC2F6C" w:rsidRDefault="00FC2F6C">
            <w:pPr>
              <w:jc w:val="center"/>
              <w:rPr>
                <w:b/>
                <w:sz w:val="24"/>
              </w:rPr>
            </w:pPr>
            <w:r>
              <w:rPr>
                <w:b/>
                <w:sz w:val="24"/>
              </w:rPr>
              <w:t>Percent</w:t>
            </w:r>
          </w:p>
        </w:tc>
        <w:tc>
          <w:tcPr>
            <w:tcW w:w="1440" w:type="dxa"/>
          </w:tcPr>
          <w:p w:rsidR="00FC2F6C" w:rsidRDefault="00FC2F6C">
            <w:pPr>
              <w:jc w:val="center"/>
              <w:rPr>
                <w:b/>
                <w:bCs/>
                <w:sz w:val="24"/>
              </w:rPr>
            </w:pPr>
            <w:r>
              <w:rPr>
                <w:b/>
                <w:bCs/>
                <w:sz w:val="24"/>
              </w:rPr>
              <w:t>Number</w:t>
            </w:r>
          </w:p>
        </w:tc>
        <w:tc>
          <w:tcPr>
            <w:tcW w:w="1260" w:type="dxa"/>
          </w:tcPr>
          <w:p w:rsidR="00FC2F6C" w:rsidRDefault="00FC2F6C">
            <w:pPr>
              <w:jc w:val="center"/>
              <w:rPr>
                <w:b/>
                <w:bCs/>
                <w:sz w:val="24"/>
              </w:rPr>
            </w:pPr>
            <w:r>
              <w:rPr>
                <w:b/>
                <w:bCs/>
                <w:sz w:val="24"/>
              </w:rPr>
              <w:t>Percent</w:t>
            </w:r>
          </w:p>
        </w:tc>
        <w:tc>
          <w:tcPr>
            <w:tcW w:w="1260" w:type="dxa"/>
          </w:tcPr>
          <w:p w:rsidR="00FC2F6C" w:rsidRDefault="00FC2F6C">
            <w:pPr>
              <w:jc w:val="center"/>
              <w:rPr>
                <w:b/>
                <w:bCs/>
                <w:sz w:val="24"/>
              </w:rPr>
            </w:pPr>
            <w:r>
              <w:rPr>
                <w:b/>
                <w:bCs/>
                <w:sz w:val="24"/>
              </w:rPr>
              <w:t>Number</w:t>
            </w:r>
          </w:p>
        </w:tc>
        <w:tc>
          <w:tcPr>
            <w:tcW w:w="1170" w:type="dxa"/>
          </w:tcPr>
          <w:p w:rsidR="00FC2F6C" w:rsidRDefault="00FC2F6C">
            <w:pPr>
              <w:jc w:val="center"/>
              <w:rPr>
                <w:b/>
                <w:bCs/>
                <w:sz w:val="24"/>
              </w:rPr>
            </w:pPr>
            <w:r>
              <w:rPr>
                <w:b/>
                <w:bCs/>
                <w:sz w:val="24"/>
              </w:rPr>
              <w:t>Percent</w:t>
            </w:r>
          </w:p>
        </w:tc>
      </w:tr>
      <w:tr w:rsidR="00FC2F6C">
        <w:trPr>
          <w:jc w:val="center"/>
        </w:trPr>
        <w:tc>
          <w:tcPr>
            <w:tcW w:w="2321" w:type="dxa"/>
          </w:tcPr>
          <w:p w:rsidR="00FC2F6C" w:rsidRDefault="00FC2F6C">
            <w:pPr>
              <w:pStyle w:val="Heading4"/>
              <w:rPr>
                <w:b w:val="0"/>
                <w:szCs w:val="24"/>
              </w:rPr>
            </w:pPr>
            <w:r>
              <w:rPr>
                <w:b w:val="0"/>
                <w:szCs w:val="24"/>
              </w:rPr>
              <w:t>White</w:t>
            </w:r>
          </w:p>
        </w:tc>
        <w:tc>
          <w:tcPr>
            <w:tcW w:w="1295" w:type="dxa"/>
          </w:tcPr>
          <w:p w:rsidR="00FC2F6C" w:rsidRDefault="00FC2F6C">
            <w:pPr>
              <w:jc w:val="right"/>
              <w:rPr>
                <w:sz w:val="24"/>
              </w:rPr>
            </w:pPr>
            <w:r>
              <w:rPr>
                <w:sz w:val="24"/>
              </w:rPr>
              <w:t>106,347</w:t>
            </w:r>
          </w:p>
        </w:tc>
        <w:tc>
          <w:tcPr>
            <w:tcW w:w="1260" w:type="dxa"/>
          </w:tcPr>
          <w:p w:rsidR="00FC2F6C" w:rsidRDefault="00FC2F6C">
            <w:pPr>
              <w:jc w:val="right"/>
              <w:rPr>
                <w:sz w:val="24"/>
              </w:rPr>
            </w:pPr>
            <w:r>
              <w:rPr>
                <w:sz w:val="24"/>
              </w:rPr>
              <w:t>89.6%</w:t>
            </w:r>
          </w:p>
        </w:tc>
        <w:tc>
          <w:tcPr>
            <w:tcW w:w="1440" w:type="dxa"/>
          </w:tcPr>
          <w:p w:rsidR="00FC2F6C" w:rsidRDefault="00FC2F6C">
            <w:pPr>
              <w:jc w:val="right"/>
              <w:rPr>
                <w:bCs/>
                <w:sz w:val="24"/>
              </w:rPr>
            </w:pPr>
            <w:r>
              <w:rPr>
                <w:bCs/>
                <w:sz w:val="24"/>
              </w:rPr>
              <w:t>123,629</w:t>
            </w:r>
          </w:p>
        </w:tc>
        <w:tc>
          <w:tcPr>
            <w:tcW w:w="1260" w:type="dxa"/>
          </w:tcPr>
          <w:p w:rsidR="00FC2F6C" w:rsidRDefault="00FC2F6C">
            <w:pPr>
              <w:jc w:val="right"/>
              <w:rPr>
                <w:bCs/>
                <w:sz w:val="24"/>
              </w:rPr>
            </w:pPr>
            <w:r>
              <w:rPr>
                <w:bCs/>
                <w:sz w:val="24"/>
              </w:rPr>
              <w:t>93.1%</w:t>
            </w:r>
          </w:p>
        </w:tc>
        <w:tc>
          <w:tcPr>
            <w:tcW w:w="1260" w:type="dxa"/>
          </w:tcPr>
          <w:p w:rsidR="00FC2F6C" w:rsidRDefault="00FC2F6C">
            <w:pPr>
              <w:jc w:val="right"/>
              <w:rPr>
                <w:bCs/>
                <w:sz w:val="24"/>
              </w:rPr>
            </w:pPr>
            <w:r>
              <w:rPr>
                <w:bCs/>
                <w:sz w:val="24"/>
              </w:rPr>
              <w:t>229,976</w:t>
            </w:r>
          </w:p>
        </w:tc>
        <w:tc>
          <w:tcPr>
            <w:tcW w:w="1170" w:type="dxa"/>
          </w:tcPr>
          <w:p w:rsidR="00FC2F6C" w:rsidRDefault="00FC2F6C">
            <w:pPr>
              <w:jc w:val="right"/>
              <w:rPr>
                <w:bCs/>
                <w:sz w:val="24"/>
              </w:rPr>
            </w:pPr>
            <w:r>
              <w:rPr>
                <w:bCs/>
                <w:sz w:val="24"/>
              </w:rPr>
              <w:t>91.4%</w:t>
            </w:r>
          </w:p>
        </w:tc>
      </w:tr>
      <w:tr w:rsidR="00FC2F6C">
        <w:trPr>
          <w:trHeight w:val="620"/>
          <w:jc w:val="center"/>
        </w:trPr>
        <w:tc>
          <w:tcPr>
            <w:tcW w:w="2321" w:type="dxa"/>
          </w:tcPr>
          <w:p w:rsidR="00FC2F6C" w:rsidRDefault="00FC2F6C">
            <w:pPr>
              <w:pStyle w:val="Heading4"/>
              <w:rPr>
                <w:b w:val="0"/>
                <w:szCs w:val="24"/>
              </w:rPr>
            </w:pPr>
            <w:r>
              <w:rPr>
                <w:b w:val="0"/>
                <w:szCs w:val="24"/>
              </w:rPr>
              <w:t>Black</w:t>
            </w:r>
          </w:p>
        </w:tc>
        <w:tc>
          <w:tcPr>
            <w:tcW w:w="1295" w:type="dxa"/>
          </w:tcPr>
          <w:p w:rsidR="00FC2F6C" w:rsidRDefault="00FC2F6C">
            <w:pPr>
              <w:jc w:val="right"/>
              <w:rPr>
                <w:sz w:val="24"/>
              </w:rPr>
            </w:pPr>
            <w:r>
              <w:rPr>
                <w:sz w:val="24"/>
              </w:rPr>
              <w:t>1,213</w:t>
            </w:r>
          </w:p>
        </w:tc>
        <w:tc>
          <w:tcPr>
            <w:tcW w:w="1260" w:type="dxa"/>
          </w:tcPr>
          <w:p w:rsidR="00FC2F6C" w:rsidRDefault="00FC2F6C">
            <w:pPr>
              <w:jc w:val="right"/>
              <w:rPr>
                <w:sz w:val="24"/>
              </w:rPr>
            </w:pPr>
            <w:r>
              <w:rPr>
                <w:sz w:val="24"/>
              </w:rPr>
              <w:t>1.0%</w:t>
            </w:r>
          </w:p>
        </w:tc>
        <w:tc>
          <w:tcPr>
            <w:tcW w:w="1440" w:type="dxa"/>
          </w:tcPr>
          <w:p w:rsidR="00FC2F6C" w:rsidRDefault="00FC2F6C">
            <w:pPr>
              <w:jc w:val="right"/>
              <w:rPr>
                <w:bCs/>
                <w:sz w:val="24"/>
              </w:rPr>
            </w:pPr>
            <w:r>
              <w:rPr>
                <w:bCs/>
                <w:sz w:val="24"/>
              </w:rPr>
              <w:t>437</w:t>
            </w:r>
          </w:p>
        </w:tc>
        <w:tc>
          <w:tcPr>
            <w:tcW w:w="1260" w:type="dxa"/>
          </w:tcPr>
          <w:p w:rsidR="00FC2F6C" w:rsidRDefault="00FC2F6C">
            <w:pPr>
              <w:jc w:val="right"/>
              <w:rPr>
                <w:bCs/>
                <w:sz w:val="24"/>
              </w:rPr>
            </w:pPr>
            <w:r>
              <w:rPr>
                <w:bCs/>
                <w:sz w:val="24"/>
              </w:rPr>
              <w:t>0.3%</w:t>
            </w:r>
          </w:p>
        </w:tc>
        <w:tc>
          <w:tcPr>
            <w:tcW w:w="1260" w:type="dxa"/>
          </w:tcPr>
          <w:p w:rsidR="00FC2F6C" w:rsidRDefault="00FC2F6C">
            <w:pPr>
              <w:jc w:val="right"/>
              <w:rPr>
                <w:bCs/>
                <w:sz w:val="24"/>
              </w:rPr>
            </w:pPr>
            <w:r>
              <w:rPr>
                <w:bCs/>
                <w:sz w:val="24"/>
              </w:rPr>
              <w:t>1,650</w:t>
            </w:r>
          </w:p>
        </w:tc>
        <w:tc>
          <w:tcPr>
            <w:tcW w:w="1170" w:type="dxa"/>
          </w:tcPr>
          <w:p w:rsidR="00FC2F6C" w:rsidRDefault="00FC2F6C">
            <w:pPr>
              <w:jc w:val="right"/>
              <w:rPr>
                <w:bCs/>
                <w:sz w:val="24"/>
              </w:rPr>
            </w:pPr>
            <w:r>
              <w:rPr>
                <w:bCs/>
                <w:sz w:val="24"/>
              </w:rPr>
              <w:t>0.7%</w:t>
            </w:r>
          </w:p>
        </w:tc>
      </w:tr>
      <w:tr w:rsidR="00FC2F6C">
        <w:trPr>
          <w:jc w:val="center"/>
        </w:trPr>
        <w:tc>
          <w:tcPr>
            <w:tcW w:w="2321" w:type="dxa"/>
          </w:tcPr>
          <w:p w:rsidR="00FC2F6C" w:rsidRDefault="00FC2F6C">
            <w:pPr>
              <w:pStyle w:val="Heading4"/>
              <w:rPr>
                <w:b w:val="0"/>
                <w:szCs w:val="24"/>
              </w:rPr>
            </w:pPr>
            <w:r>
              <w:rPr>
                <w:b w:val="0"/>
                <w:szCs w:val="24"/>
              </w:rPr>
              <w:t>American Indian and Alaska Native</w:t>
            </w:r>
          </w:p>
        </w:tc>
        <w:tc>
          <w:tcPr>
            <w:tcW w:w="1295" w:type="dxa"/>
          </w:tcPr>
          <w:p w:rsidR="00FC2F6C" w:rsidRDefault="00FC2F6C">
            <w:pPr>
              <w:jc w:val="right"/>
              <w:rPr>
                <w:sz w:val="24"/>
              </w:rPr>
            </w:pPr>
            <w:r>
              <w:rPr>
                <w:sz w:val="24"/>
              </w:rPr>
              <w:t>715</w:t>
            </w:r>
          </w:p>
        </w:tc>
        <w:tc>
          <w:tcPr>
            <w:tcW w:w="1260" w:type="dxa"/>
          </w:tcPr>
          <w:p w:rsidR="00FC2F6C" w:rsidRDefault="00FC2F6C">
            <w:pPr>
              <w:jc w:val="right"/>
              <w:rPr>
                <w:sz w:val="24"/>
              </w:rPr>
            </w:pPr>
            <w:r>
              <w:rPr>
                <w:sz w:val="24"/>
              </w:rPr>
              <w:t>0.6%</w:t>
            </w:r>
          </w:p>
        </w:tc>
        <w:tc>
          <w:tcPr>
            <w:tcW w:w="1440" w:type="dxa"/>
          </w:tcPr>
          <w:p w:rsidR="00FC2F6C" w:rsidRDefault="00FC2F6C">
            <w:pPr>
              <w:jc w:val="right"/>
              <w:rPr>
                <w:bCs/>
                <w:sz w:val="24"/>
              </w:rPr>
            </w:pPr>
            <w:r>
              <w:rPr>
                <w:bCs/>
                <w:sz w:val="24"/>
              </w:rPr>
              <w:t>953</w:t>
            </w:r>
          </w:p>
        </w:tc>
        <w:tc>
          <w:tcPr>
            <w:tcW w:w="1260" w:type="dxa"/>
          </w:tcPr>
          <w:p w:rsidR="00FC2F6C" w:rsidRDefault="00FC2F6C">
            <w:pPr>
              <w:jc w:val="right"/>
              <w:rPr>
                <w:bCs/>
                <w:sz w:val="24"/>
              </w:rPr>
            </w:pPr>
            <w:r>
              <w:rPr>
                <w:bCs/>
                <w:sz w:val="24"/>
              </w:rPr>
              <w:t>0.7%</w:t>
            </w:r>
          </w:p>
        </w:tc>
        <w:tc>
          <w:tcPr>
            <w:tcW w:w="1260" w:type="dxa"/>
          </w:tcPr>
          <w:p w:rsidR="00FC2F6C" w:rsidRDefault="00FC2F6C">
            <w:pPr>
              <w:jc w:val="right"/>
              <w:rPr>
                <w:bCs/>
                <w:sz w:val="24"/>
              </w:rPr>
            </w:pPr>
            <w:r>
              <w:rPr>
                <w:bCs/>
                <w:sz w:val="24"/>
              </w:rPr>
              <w:t>1,668</w:t>
            </w:r>
          </w:p>
        </w:tc>
        <w:tc>
          <w:tcPr>
            <w:tcW w:w="1170" w:type="dxa"/>
          </w:tcPr>
          <w:p w:rsidR="00FC2F6C" w:rsidRDefault="00FC2F6C">
            <w:pPr>
              <w:jc w:val="right"/>
              <w:rPr>
                <w:bCs/>
                <w:sz w:val="24"/>
              </w:rPr>
            </w:pPr>
            <w:r>
              <w:rPr>
                <w:bCs/>
                <w:sz w:val="24"/>
              </w:rPr>
              <w:t>0.7%</w:t>
            </w:r>
          </w:p>
        </w:tc>
      </w:tr>
      <w:tr w:rsidR="00FC2F6C">
        <w:trPr>
          <w:jc w:val="center"/>
        </w:trPr>
        <w:tc>
          <w:tcPr>
            <w:tcW w:w="2321" w:type="dxa"/>
          </w:tcPr>
          <w:p w:rsidR="00FC2F6C" w:rsidRDefault="00FC2F6C">
            <w:pPr>
              <w:pStyle w:val="Heading4"/>
              <w:rPr>
                <w:b w:val="0"/>
                <w:szCs w:val="24"/>
              </w:rPr>
            </w:pPr>
            <w:r>
              <w:rPr>
                <w:b w:val="0"/>
                <w:szCs w:val="24"/>
              </w:rPr>
              <w:t>Asian</w:t>
            </w:r>
          </w:p>
        </w:tc>
        <w:tc>
          <w:tcPr>
            <w:tcW w:w="1295" w:type="dxa"/>
          </w:tcPr>
          <w:p w:rsidR="00FC2F6C" w:rsidRDefault="00FC2F6C">
            <w:pPr>
              <w:pStyle w:val="ReferenceLine"/>
              <w:jc w:val="right"/>
              <w:rPr>
                <w:szCs w:val="24"/>
              </w:rPr>
            </w:pPr>
            <w:r>
              <w:rPr>
                <w:szCs w:val="24"/>
              </w:rPr>
              <w:t>2,948</w:t>
            </w:r>
          </w:p>
          <w:p w:rsidR="00FC2F6C" w:rsidRDefault="00FC2F6C">
            <w:pPr>
              <w:pStyle w:val="ReferenceLine"/>
              <w:jc w:val="right"/>
              <w:rPr>
                <w:szCs w:val="24"/>
              </w:rPr>
            </w:pPr>
          </w:p>
        </w:tc>
        <w:tc>
          <w:tcPr>
            <w:tcW w:w="1260" w:type="dxa"/>
          </w:tcPr>
          <w:p w:rsidR="00FC2F6C" w:rsidRDefault="00FC2F6C">
            <w:pPr>
              <w:pStyle w:val="ReferenceLine"/>
              <w:jc w:val="right"/>
              <w:rPr>
                <w:szCs w:val="24"/>
              </w:rPr>
            </w:pPr>
            <w:r>
              <w:rPr>
                <w:szCs w:val="24"/>
              </w:rPr>
              <w:t>2.5%</w:t>
            </w:r>
          </w:p>
        </w:tc>
        <w:tc>
          <w:tcPr>
            <w:tcW w:w="1440" w:type="dxa"/>
          </w:tcPr>
          <w:p w:rsidR="00FC2F6C" w:rsidRDefault="00FC2F6C">
            <w:pPr>
              <w:pStyle w:val="ReferenceLine"/>
              <w:jc w:val="right"/>
              <w:rPr>
                <w:szCs w:val="24"/>
              </w:rPr>
            </w:pPr>
            <w:r>
              <w:rPr>
                <w:szCs w:val="24"/>
              </w:rPr>
              <w:t>967</w:t>
            </w:r>
          </w:p>
        </w:tc>
        <w:tc>
          <w:tcPr>
            <w:tcW w:w="1260" w:type="dxa"/>
          </w:tcPr>
          <w:p w:rsidR="00FC2F6C" w:rsidRDefault="00FC2F6C">
            <w:pPr>
              <w:pStyle w:val="ReferenceLine"/>
              <w:jc w:val="right"/>
              <w:rPr>
                <w:szCs w:val="24"/>
              </w:rPr>
            </w:pPr>
            <w:r>
              <w:rPr>
                <w:szCs w:val="24"/>
              </w:rPr>
              <w:t>0.7%</w:t>
            </w:r>
          </w:p>
        </w:tc>
        <w:tc>
          <w:tcPr>
            <w:tcW w:w="1260" w:type="dxa"/>
          </w:tcPr>
          <w:p w:rsidR="00FC2F6C" w:rsidRDefault="00FC2F6C">
            <w:pPr>
              <w:pStyle w:val="ReferenceLine"/>
              <w:jc w:val="right"/>
              <w:rPr>
                <w:szCs w:val="24"/>
              </w:rPr>
            </w:pPr>
            <w:r>
              <w:rPr>
                <w:szCs w:val="24"/>
              </w:rPr>
              <w:t>3,917</w:t>
            </w:r>
          </w:p>
        </w:tc>
        <w:tc>
          <w:tcPr>
            <w:tcW w:w="1170" w:type="dxa"/>
          </w:tcPr>
          <w:p w:rsidR="00FC2F6C" w:rsidRDefault="00FC2F6C">
            <w:pPr>
              <w:pStyle w:val="ReferenceLine"/>
              <w:jc w:val="right"/>
              <w:rPr>
                <w:szCs w:val="24"/>
              </w:rPr>
            </w:pPr>
            <w:r>
              <w:rPr>
                <w:szCs w:val="24"/>
              </w:rPr>
              <w:t>1.6%</w:t>
            </w:r>
          </w:p>
        </w:tc>
      </w:tr>
      <w:tr w:rsidR="00FC2F6C">
        <w:trPr>
          <w:jc w:val="center"/>
        </w:trPr>
        <w:tc>
          <w:tcPr>
            <w:tcW w:w="2321" w:type="dxa"/>
          </w:tcPr>
          <w:p w:rsidR="00FC2F6C" w:rsidRDefault="00FC2F6C">
            <w:pPr>
              <w:pStyle w:val="Heading4"/>
              <w:rPr>
                <w:b w:val="0"/>
                <w:szCs w:val="24"/>
              </w:rPr>
            </w:pPr>
            <w:r>
              <w:rPr>
                <w:b w:val="0"/>
                <w:szCs w:val="24"/>
              </w:rPr>
              <w:t>Hawaiian/Pacific Islander</w:t>
            </w:r>
          </w:p>
        </w:tc>
        <w:tc>
          <w:tcPr>
            <w:tcW w:w="1295" w:type="dxa"/>
          </w:tcPr>
          <w:p w:rsidR="00FC2F6C" w:rsidRDefault="00FC2F6C">
            <w:pPr>
              <w:jc w:val="right"/>
              <w:rPr>
                <w:sz w:val="24"/>
              </w:rPr>
            </w:pPr>
            <w:r>
              <w:rPr>
                <w:sz w:val="24"/>
              </w:rPr>
              <w:t>143</w:t>
            </w:r>
          </w:p>
        </w:tc>
        <w:tc>
          <w:tcPr>
            <w:tcW w:w="1260" w:type="dxa"/>
          </w:tcPr>
          <w:p w:rsidR="00FC2F6C" w:rsidRDefault="00FC2F6C">
            <w:pPr>
              <w:jc w:val="right"/>
              <w:rPr>
                <w:sz w:val="24"/>
              </w:rPr>
            </w:pPr>
            <w:r>
              <w:rPr>
                <w:sz w:val="24"/>
              </w:rPr>
              <w:t>0.1%</w:t>
            </w:r>
          </w:p>
        </w:tc>
        <w:tc>
          <w:tcPr>
            <w:tcW w:w="1440" w:type="dxa"/>
          </w:tcPr>
          <w:p w:rsidR="00FC2F6C" w:rsidRDefault="00FC2F6C">
            <w:pPr>
              <w:jc w:val="right"/>
              <w:rPr>
                <w:sz w:val="24"/>
              </w:rPr>
            </w:pPr>
            <w:r>
              <w:rPr>
                <w:sz w:val="24"/>
              </w:rPr>
              <w:t>50</w:t>
            </w:r>
          </w:p>
        </w:tc>
        <w:tc>
          <w:tcPr>
            <w:tcW w:w="1260" w:type="dxa"/>
          </w:tcPr>
          <w:p w:rsidR="00FC2F6C" w:rsidRDefault="00FC2F6C">
            <w:pPr>
              <w:jc w:val="right"/>
              <w:rPr>
                <w:sz w:val="24"/>
              </w:rPr>
            </w:pPr>
            <w:r>
              <w:rPr>
                <w:sz w:val="24"/>
              </w:rPr>
              <w:t>0.0%</w:t>
            </w:r>
          </w:p>
        </w:tc>
        <w:tc>
          <w:tcPr>
            <w:tcW w:w="1260" w:type="dxa"/>
          </w:tcPr>
          <w:p w:rsidR="00FC2F6C" w:rsidRDefault="00FC2F6C">
            <w:pPr>
              <w:jc w:val="right"/>
              <w:rPr>
                <w:sz w:val="24"/>
              </w:rPr>
            </w:pPr>
            <w:r>
              <w:rPr>
                <w:sz w:val="24"/>
              </w:rPr>
              <w:t>193</w:t>
            </w:r>
          </w:p>
        </w:tc>
        <w:tc>
          <w:tcPr>
            <w:tcW w:w="1170" w:type="dxa"/>
          </w:tcPr>
          <w:p w:rsidR="00FC2F6C" w:rsidRDefault="00FC2F6C">
            <w:pPr>
              <w:jc w:val="right"/>
              <w:rPr>
                <w:sz w:val="24"/>
              </w:rPr>
            </w:pPr>
            <w:r>
              <w:rPr>
                <w:sz w:val="24"/>
              </w:rPr>
              <w:t>0.1%</w:t>
            </w:r>
          </w:p>
        </w:tc>
      </w:tr>
      <w:tr w:rsidR="00FC2F6C">
        <w:trPr>
          <w:jc w:val="center"/>
        </w:trPr>
        <w:tc>
          <w:tcPr>
            <w:tcW w:w="2321" w:type="dxa"/>
            <w:tcBorders>
              <w:bottom w:val="single" w:sz="4" w:space="0" w:color="auto"/>
            </w:tcBorders>
          </w:tcPr>
          <w:p w:rsidR="00FC2F6C" w:rsidRDefault="00FC2F6C">
            <w:pPr>
              <w:pStyle w:val="Heading4"/>
              <w:rPr>
                <w:b w:val="0"/>
                <w:szCs w:val="24"/>
              </w:rPr>
            </w:pPr>
            <w:r>
              <w:rPr>
                <w:b w:val="0"/>
                <w:szCs w:val="24"/>
              </w:rPr>
              <w:t>Other Race</w:t>
            </w:r>
          </w:p>
        </w:tc>
        <w:tc>
          <w:tcPr>
            <w:tcW w:w="1295" w:type="dxa"/>
            <w:tcBorders>
              <w:bottom w:val="single" w:sz="4" w:space="0" w:color="auto"/>
            </w:tcBorders>
          </w:tcPr>
          <w:p w:rsidR="00FC2F6C" w:rsidRDefault="00FC2F6C">
            <w:pPr>
              <w:jc w:val="right"/>
              <w:rPr>
                <w:sz w:val="24"/>
              </w:rPr>
            </w:pPr>
            <w:r>
              <w:rPr>
                <w:sz w:val="24"/>
              </w:rPr>
              <w:t>4,281</w:t>
            </w:r>
          </w:p>
        </w:tc>
        <w:tc>
          <w:tcPr>
            <w:tcW w:w="1260" w:type="dxa"/>
            <w:tcBorders>
              <w:bottom w:val="single" w:sz="4" w:space="0" w:color="auto"/>
            </w:tcBorders>
          </w:tcPr>
          <w:p w:rsidR="00FC2F6C" w:rsidRDefault="00FC2F6C">
            <w:pPr>
              <w:jc w:val="right"/>
              <w:rPr>
                <w:sz w:val="24"/>
              </w:rPr>
            </w:pPr>
            <w:r>
              <w:rPr>
                <w:sz w:val="24"/>
              </w:rPr>
              <w:t>3.6%</w:t>
            </w:r>
          </w:p>
        </w:tc>
        <w:tc>
          <w:tcPr>
            <w:tcW w:w="1440" w:type="dxa"/>
            <w:tcBorders>
              <w:bottom w:val="single" w:sz="4" w:space="0" w:color="auto"/>
            </w:tcBorders>
          </w:tcPr>
          <w:p w:rsidR="00FC2F6C" w:rsidRDefault="00FC2F6C">
            <w:pPr>
              <w:jc w:val="right"/>
              <w:rPr>
                <w:sz w:val="24"/>
              </w:rPr>
            </w:pPr>
            <w:r>
              <w:rPr>
                <w:sz w:val="24"/>
              </w:rPr>
              <w:t>4,294</w:t>
            </w:r>
          </w:p>
        </w:tc>
        <w:tc>
          <w:tcPr>
            <w:tcW w:w="1260" w:type="dxa"/>
            <w:tcBorders>
              <w:bottom w:val="single" w:sz="4" w:space="0" w:color="auto"/>
            </w:tcBorders>
          </w:tcPr>
          <w:p w:rsidR="00FC2F6C" w:rsidRDefault="00FC2F6C">
            <w:pPr>
              <w:jc w:val="right"/>
              <w:rPr>
                <w:sz w:val="24"/>
              </w:rPr>
            </w:pPr>
            <w:r>
              <w:rPr>
                <w:sz w:val="24"/>
              </w:rPr>
              <w:t>3.2%</w:t>
            </w:r>
          </w:p>
        </w:tc>
        <w:tc>
          <w:tcPr>
            <w:tcW w:w="1260" w:type="dxa"/>
            <w:tcBorders>
              <w:bottom w:val="single" w:sz="4" w:space="0" w:color="auto"/>
            </w:tcBorders>
          </w:tcPr>
          <w:p w:rsidR="00FC2F6C" w:rsidRDefault="00FC2F6C">
            <w:pPr>
              <w:jc w:val="right"/>
              <w:rPr>
                <w:sz w:val="24"/>
              </w:rPr>
            </w:pPr>
            <w:r>
              <w:rPr>
                <w:sz w:val="24"/>
              </w:rPr>
              <w:t>8,575</w:t>
            </w:r>
          </w:p>
        </w:tc>
        <w:tc>
          <w:tcPr>
            <w:tcW w:w="1170" w:type="dxa"/>
            <w:tcBorders>
              <w:bottom w:val="single" w:sz="4" w:space="0" w:color="auto"/>
            </w:tcBorders>
          </w:tcPr>
          <w:p w:rsidR="00FC2F6C" w:rsidRDefault="00FC2F6C">
            <w:pPr>
              <w:jc w:val="right"/>
              <w:rPr>
                <w:sz w:val="24"/>
              </w:rPr>
            </w:pPr>
            <w:r>
              <w:rPr>
                <w:sz w:val="24"/>
              </w:rPr>
              <w:t>3.4%</w:t>
            </w:r>
          </w:p>
        </w:tc>
      </w:tr>
      <w:tr w:rsidR="00FC2F6C">
        <w:trPr>
          <w:trHeight w:val="296"/>
          <w:jc w:val="center"/>
        </w:trPr>
        <w:tc>
          <w:tcPr>
            <w:tcW w:w="2321" w:type="dxa"/>
            <w:tcBorders>
              <w:bottom w:val="single" w:sz="4" w:space="0" w:color="auto"/>
            </w:tcBorders>
          </w:tcPr>
          <w:p w:rsidR="00FC2F6C" w:rsidRDefault="00FC2F6C">
            <w:pPr>
              <w:pStyle w:val="Heading4"/>
              <w:rPr>
                <w:b w:val="0"/>
                <w:szCs w:val="24"/>
              </w:rPr>
            </w:pPr>
            <w:r>
              <w:rPr>
                <w:b w:val="0"/>
                <w:szCs w:val="24"/>
              </w:rPr>
              <w:t>Hispanic Origin</w:t>
            </w:r>
            <w:r>
              <w:rPr>
                <w:rStyle w:val="FootnoteReference"/>
                <w:b w:val="0"/>
                <w:szCs w:val="24"/>
              </w:rPr>
              <w:footnoteReference w:id="1"/>
            </w:r>
          </w:p>
        </w:tc>
        <w:tc>
          <w:tcPr>
            <w:tcW w:w="1295" w:type="dxa"/>
            <w:tcBorders>
              <w:bottom w:val="single" w:sz="4" w:space="0" w:color="auto"/>
            </w:tcBorders>
          </w:tcPr>
          <w:p w:rsidR="00FC2F6C" w:rsidRDefault="00FC2F6C">
            <w:pPr>
              <w:jc w:val="right"/>
              <w:rPr>
                <w:sz w:val="24"/>
              </w:rPr>
            </w:pPr>
            <w:r>
              <w:rPr>
                <w:b/>
                <w:sz w:val="24"/>
              </w:rPr>
              <w:t>10,402</w:t>
            </w:r>
          </w:p>
        </w:tc>
        <w:tc>
          <w:tcPr>
            <w:tcW w:w="1260" w:type="dxa"/>
            <w:tcBorders>
              <w:bottom w:val="single" w:sz="4" w:space="0" w:color="auto"/>
            </w:tcBorders>
          </w:tcPr>
          <w:p w:rsidR="00FC2F6C" w:rsidRDefault="00FC2F6C">
            <w:pPr>
              <w:jc w:val="right"/>
              <w:rPr>
                <w:sz w:val="24"/>
              </w:rPr>
            </w:pPr>
            <w:r>
              <w:rPr>
                <w:sz w:val="24"/>
              </w:rPr>
              <w:t>8.8%</w:t>
            </w:r>
          </w:p>
        </w:tc>
        <w:tc>
          <w:tcPr>
            <w:tcW w:w="1440" w:type="dxa"/>
            <w:tcBorders>
              <w:bottom w:val="single" w:sz="4" w:space="0" w:color="auto"/>
            </w:tcBorders>
          </w:tcPr>
          <w:p w:rsidR="00FC2F6C" w:rsidRDefault="00FC2F6C">
            <w:pPr>
              <w:jc w:val="right"/>
              <w:rPr>
                <w:sz w:val="24"/>
              </w:rPr>
            </w:pPr>
            <w:r>
              <w:rPr>
                <w:sz w:val="24"/>
              </w:rPr>
              <w:t>10,409</w:t>
            </w:r>
          </w:p>
        </w:tc>
        <w:tc>
          <w:tcPr>
            <w:tcW w:w="1260" w:type="dxa"/>
            <w:tcBorders>
              <w:bottom w:val="single" w:sz="4" w:space="0" w:color="auto"/>
            </w:tcBorders>
          </w:tcPr>
          <w:p w:rsidR="00FC2F6C" w:rsidRDefault="00FC2F6C">
            <w:pPr>
              <w:jc w:val="right"/>
              <w:rPr>
                <w:sz w:val="24"/>
              </w:rPr>
            </w:pPr>
            <w:r>
              <w:rPr>
                <w:sz w:val="24"/>
              </w:rPr>
              <w:t>7.8%</w:t>
            </w:r>
          </w:p>
        </w:tc>
        <w:tc>
          <w:tcPr>
            <w:tcW w:w="1260" w:type="dxa"/>
            <w:tcBorders>
              <w:bottom w:val="single" w:sz="4" w:space="0" w:color="auto"/>
            </w:tcBorders>
          </w:tcPr>
          <w:p w:rsidR="00FC2F6C" w:rsidRDefault="00FC2F6C">
            <w:pPr>
              <w:jc w:val="right"/>
              <w:rPr>
                <w:sz w:val="24"/>
              </w:rPr>
            </w:pPr>
            <w:r>
              <w:rPr>
                <w:sz w:val="24"/>
              </w:rPr>
              <w:t>20,811</w:t>
            </w:r>
          </w:p>
        </w:tc>
        <w:tc>
          <w:tcPr>
            <w:tcW w:w="1170" w:type="dxa"/>
            <w:tcBorders>
              <w:bottom w:val="single" w:sz="4" w:space="0" w:color="auto"/>
            </w:tcBorders>
          </w:tcPr>
          <w:p w:rsidR="00FC2F6C" w:rsidRDefault="00FC2F6C">
            <w:pPr>
              <w:jc w:val="right"/>
              <w:rPr>
                <w:sz w:val="24"/>
              </w:rPr>
            </w:pPr>
            <w:r>
              <w:rPr>
                <w:sz w:val="24"/>
              </w:rPr>
              <w:t>8.3%</w:t>
            </w:r>
          </w:p>
        </w:tc>
      </w:tr>
      <w:tr w:rsidR="00FC2F6C">
        <w:trPr>
          <w:jc w:val="center"/>
        </w:trPr>
        <w:tc>
          <w:tcPr>
            <w:tcW w:w="2321" w:type="dxa"/>
            <w:tcBorders>
              <w:top w:val="double" w:sz="4" w:space="0" w:color="auto"/>
              <w:left w:val="double" w:sz="4" w:space="0" w:color="auto"/>
              <w:bottom w:val="double" w:sz="4" w:space="0" w:color="auto"/>
            </w:tcBorders>
          </w:tcPr>
          <w:p w:rsidR="00FC2F6C" w:rsidRDefault="00FC2F6C">
            <w:pPr>
              <w:pStyle w:val="Heading4"/>
              <w:rPr>
                <w:szCs w:val="24"/>
                <w:u w:val="single"/>
              </w:rPr>
            </w:pPr>
            <w:r>
              <w:rPr>
                <w:szCs w:val="24"/>
                <w:u w:val="single"/>
              </w:rPr>
              <w:t>Total Population</w:t>
            </w:r>
          </w:p>
        </w:tc>
        <w:tc>
          <w:tcPr>
            <w:tcW w:w="1295" w:type="dxa"/>
            <w:tcBorders>
              <w:top w:val="double" w:sz="4" w:space="0" w:color="auto"/>
              <w:bottom w:val="double" w:sz="4" w:space="0" w:color="auto"/>
            </w:tcBorders>
          </w:tcPr>
          <w:p w:rsidR="00FC2F6C" w:rsidRDefault="00FC2F6C">
            <w:pPr>
              <w:jc w:val="right"/>
              <w:rPr>
                <w:b/>
                <w:bCs/>
                <w:sz w:val="24"/>
                <w:u w:val="single"/>
              </w:rPr>
            </w:pPr>
            <w:r>
              <w:rPr>
                <w:b/>
                <w:bCs/>
                <w:sz w:val="24"/>
                <w:u w:val="single"/>
              </w:rPr>
              <w:t>118,652</w:t>
            </w:r>
          </w:p>
        </w:tc>
        <w:tc>
          <w:tcPr>
            <w:tcW w:w="1260" w:type="dxa"/>
            <w:tcBorders>
              <w:top w:val="double" w:sz="4" w:space="0" w:color="auto"/>
              <w:bottom w:val="double" w:sz="4" w:space="0" w:color="auto"/>
              <w:right w:val="double" w:sz="4" w:space="0" w:color="auto"/>
            </w:tcBorders>
            <w:shd w:val="solid" w:color="FFFFFF" w:fill="auto"/>
          </w:tcPr>
          <w:p w:rsidR="00FC2F6C" w:rsidRDefault="000320D1">
            <w:pPr>
              <w:jc w:val="right"/>
              <w:rPr>
                <w:b/>
                <w:bCs/>
                <w:sz w:val="24"/>
                <w:u w:val="single"/>
              </w:rPr>
            </w:pPr>
            <w:r>
              <w:rPr>
                <w:b/>
                <w:bCs/>
                <w:sz w:val="24"/>
                <w:u w:val="single"/>
              </w:rPr>
              <w:fldChar w:fldCharType="begin"/>
            </w:r>
            <w:r w:rsidR="00FC2F6C">
              <w:rPr>
                <w:b/>
                <w:bCs/>
                <w:sz w:val="24"/>
                <w:u w:val="single"/>
              </w:rPr>
              <w:instrText xml:space="preserve"> =SUM(ABOVE)*100 \# "0.00%" </w:instrText>
            </w:r>
            <w:r>
              <w:rPr>
                <w:b/>
                <w:bCs/>
                <w:sz w:val="24"/>
                <w:u w:val="single"/>
              </w:rPr>
              <w:fldChar w:fldCharType="separate"/>
            </w:r>
            <w:r w:rsidR="00FC2F6C">
              <w:rPr>
                <w:b/>
                <w:bCs/>
                <w:noProof/>
                <w:sz w:val="24"/>
                <w:u w:val="single"/>
              </w:rPr>
              <w:t>106.20%</w:t>
            </w:r>
            <w:r>
              <w:rPr>
                <w:b/>
                <w:bCs/>
                <w:sz w:val="24"/>
                <w:u w:val="single"/>
              </w:rPr>
              <w:fldChar w:fldCharType="end"/>
            </w:r>
          </w:p>
        </w:tc>
        <w:tc>
          <w:tcPr>
            <w:tcW w:w="1440" w:type="dxa"/>
            <w:tcBorders>
              <w:top w:val="double" w:sz="4" w:space="0" w:color="auto"/>
              <w:bottom w:val="double" w:sz="4" w:space="0" w:color="auto"/>
              <w:right w:val="double" w:sz="4" w:space="0" w:color="auto"/>
            </w:tcBorders>
          </w:tcPr>
          <w:p w:rsidR="00FC2F6C" w:rsidRDefault="00FC2F6C">
            <w:pPr>
              <w:jc w:val="right"/>
              <w:rPr>
                <w:b/>
                <w:bCs/>
                <w:sz w:val="24"/>
                <w:u w:val="single"/>
              </w:rPr>
            </w:pPr>
            <w:r>
              <w:rPr>
                <w:b/>
                <w:bCs/>
                <w:sz w:val="24"/>
                <w:u w:val="single"/>
              </w:rPr>
              <w:t>132,842</w:t>
            </w:r>
          </w:p>
        </w:tc>
        <w:tc>
          <w:tcPr>
            <w:tcW w:w="1260" w:type="dxa"/>
            <w:tcBorders>
              <w:top w:val="double" w:sz="4" w:space="0" w:color="auto"/>
              <w:bottom w:val="double" w:sz="4" w:space="0" w:color="auto"/>
              <w:right w:val="double" w:sz="4" w:space="0" w:color="auto"/>
            </w:tcBorders>
          </w:tcPr>
          <w:p w:rsidR="00FC2F6C" w:rsidRDefault="00FC2F6C">
            <w:pPr>
              <w:jc w:val="right"/>
              <w:rPr>
                <w:b/>
                <w:bCs/>
                <w:sz w:val="24"/>
                <w:u w:val="single"/>
              </w:rPr>
            </w:pPr>
            <w:r>
              <w:rPr>
                <w:b/>
                <w:bCs/>
                <w:sz w:val="24"/>
                <w:u w:val="single"/>
              </w:rPr>
              <w:t>100%</w:t>
            </w:r>
          </w:p>
        </w:tc>
        <w:tc>
          <w:tcPr>
            <w:tcW w:w="1260" w:type="dxa"/>
            <w:tcBorders>
              <w:top w:val="double" w:sz="4" w:space="0" w:color="auto"/>
              <w:bottom w:val="double" w:sz="4" w:space="0" w:color="auto"/>
              <w:right w:val="double" w:sz="4" w:space="0" w:color="auto"/>
            </w:tcBorders>
          </w:tcPr>
          <w:p w:rsidR="00FC2F6C" w:rsidRDefault="00FC2F6C">
            <w:pPr>
              <w:jc w:val="right"/>
              <w:rPr>
                <w:b/>
                <w:bCs/>
                <w:sz w:val="24"/>
                <w:u w:val="single"/>
              </w:rPr>
            </w:pPr>
            <w:r>
              <w:rPr>
                <w:b/>
                <w:bCs/>
                <w:sz w:val="24"/>
                <w:u w:val="single"/>
              </w:rPr>
              <w:t>251,494</w:t>
            </w:r>
          </w:p>
        </w:tc>
        <w:tc>
          <w:tcPr>
            <w:tcW w:w="1170" w:type="dxa"/>
            <w:tcBorders>
              <w:top w:val="double" w:sz="4" w:space="0" w:color="auto"/>
              <w:bottom w:val="double" w:sz="4" w:space="0" w:color="auto"/>
              <w:right w:val="double" w:sz="4" w:space="0" w:color="auto"/>
            </w:tcBorders>
          </w:tcPr>
          <w:p w:rsidR="00FC2F6C" w:rsidRDefault="00FC2F6C">
            <w:pPr>
              <w:jc w:val="right"/>
              <w:rPr>
                <w:b/>
                <w:bCs/>
                <w:sz w:val="24"/>
                <w:u w:val="single"/>
              </w:rPr>
            </w:pPr>
            <w:r>
              <w:rPr>
                <w:b/>
                <w:bCs/>
                <w:sz w:val="24"/>
                <w:u w:val="single"/>
              </w:rPr>
              <w:t>100%</w:t>
            </w:r>
          </w:p>
        </w:tc>
      </w:tr>
    </w:tbl>
    <w:p w:rsidR="00FC2F6C" w:rsidRDefault="00FC2F6C">
      <w:pPr>
        <w:jc w:val="center"/>
        <w:rPr>
          <w:u w:val="single"/>
        </w:rPr>
      </w:pPr>
    </w:p>
    <w:p w:rsidR="00FC2F6C" w:rsidRDefault="00FC2F6C">
      <w:pPr>
        <w:ind w:left="720" w:hanging="720"/>
        <w:rPr>
          <w:sz w:val="28"/>
        </w:rPr>
      </w:pPr>
      <w:r>
        <w:rPr>
          <w:bCs/>
        </w:rPr>
        <w:t xml:space="preserve"> </w:t>
      </w:r>
    </w:p>
    <w:tbl>
      <w:tblPr>
        <w:tblW w:w="10141" w:type="dxa"/>
        <w:jc w:val="center"/>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9"/>
        <w:gridCol w:w="1343"/>
        <w:gridCol w:w="1260"/>
        <w:gridCol w:w="1170"/>
        <w:gridCol w:w="1514"/>
        <w:gridCol w:w="1186"/>
        <w:gridCol w:w="1199"/>
      </w:tblGrid>
      <w:tr w:rsidR="00FC2F6C">
        <w:trPr>
          <w:cantSplit/>
          <w:jc w:val="center"/>
        </w:trPr>
        <w:tc>
          <w:tcPr>
            <w:tcW w:w="2469" w:type="dxa"/>
            <w:vMerge w:val="restart"/>
          </w:tcPr>
          <w:p w:rsidR="00FC2F6C" w:rsidRDefault="00FC2F6C">
            <w:pPr>
              <w:pStyle w:val="ReferenceLine"/>
              <w:jc w:val="center"/>
              <w:rPr>
                <w:b/>
                <w:bCs/>
                <w:szCs w:val="24"/>
              </w:rPr>
            </w:pPr>
            <w:r>
              <w:rPr>
                <w:b/>
                <w:bCs/>
                <w:szCs w:val="24"/>
              </w:rPr>
              <w:t>Other Demographic Categories</w:t>
            </w:r>
          </w:p>
        </w:tc>
        <w:tc>
          <w:tcPr>
            <w:tcW w:w="2603" w:type="dxa"/>
            <w:gridSpan w:val="2"/>
          </w:tcPr>
          <w:p w:rsidR="00FC2F6C" w:rsidRDefault="00FC2F6C">
            <w:pPr>
              <w:pStyle w:val="Heading4"/>
              <w:jc w:val="center"/>
              <w:rPr>
                <w:szCs w:val="24"/>
                <w:lang w:val="es-ES"/>
              </w:rPr>
            </w:pPr>
            <w:r>
              <w:rPr>
                <w:szCs w:val="24"/>
              </w:rPr>
              <w:t>City of Fort Collins</w:t>
            </w:r>
          </w:p>
        </w:tc>
        <w:tc>
          <w:tcPr>
            <w:tcW w:w="2684" w:type="dxa"/>
            <w:gridSpan w:val="2"/>
          </w:tcPr>
          <w:p w:rsidR="00FC2F6C" w:rsidRDefault="00FC2F6C">
            <w:pPr>
              <w:pStyle w:val="Heading4"/>
              <w:jc w:val="center"/>
              <w:rPr>
                <w:szCs w:val="24"/>
                <w:lang w:val="es-ES"/>
              </w:rPr>
            </w:pPr>
            <w:r>
              <w:rPr>
                <w:szCs w:val="24"/>
                <w:lang w:val="es-ES"/>
              </w:rPr>
              <w:t>Rest of Larimer County</w:t>
            </w:r>
          </w:p>
        </w:tc>
        <w:tc>
          <w:tcPr>
            <w:tcW w:w="2385" w:type="dxa"/>
            <w:gridSpan w:val="2"/>
          </w:tcPr>
          <w:p w:rsidR="00FC2F6C" w:rsidRDefault="001E6A59" w:rsidP="001E6A59">
            <w:pPr>
              <w:pStyle w:val="Heading4"/>
              <w:jc w:val="center"/>
              <w:rPr>
                <w:szCs w:val="24"/>
                <w:lang w:val="es-ES"/>
              </w:rPr>
            </w:pPr>
            <w:r>
              <w:rPr>
                <w:szCs w:val="24"/>
                <w:lang w:val="es-ES"/>
              </w:rPr>
              <w:t>Total</w:t>
            </w:r>
          </w:p>
        </w:tc>
      </w:tr>
      <w:tr w:rsidR="00FC2F6C">
        <w:trPr>
          <w:cantSplit/>
          <w:trHeight w:val="368"/>
          <w:jc w:val="center"/>
        </w:trPr>
        <w:tc>
          <w:tcPr>
            <w:tcW w:w="2469" w:type="dxa"/>
            <w:vMerge/>
          </w:tcPr>
          <w:p w:rsidR="00FC2F6C" w:rsidRDefault="00FC2F6C">
            <w:pPr>
              <w:pStyle w:val="ReferenceLine"/>
              <w:jc w:val="center"/>
              <w:rPr>
                <w:b/>
                <w:bCs/>
                <w:szCs w:val="24"/>
              </w:rPr>
            </w:pPr>
          </w:p>
        </w:tc>
        <w:tc>
          <w:tcPr>
            <w:tcW w:w="1343" w:type="dxa"/>
          </w:tcPr>
          <w:p w:rsidR="00FC2F6C" w:rsidRDefault="00FC2F6C">
            <w:pPr>
              <w:pStyle w:val="Heading4"/>
              <w:tabs>
                <w:tab w:val="left" w:pos="601"/>
              </w:tabs>
              <w:jc w:val="center"/>
              <w:rPr>
                <w:b w:val="0"/>
                <w:szCs w:val="24"/>
              </w:rPr>
            </w:pPr>
            <w:r>
              <w:rPr>
                <w:szCs w:val="24"/>
              </w:rPr>
              <w:t>Number</w:t>
            </w:r>
          </w:p>
        </w:tc>
        <w:tc>
          <w:tcPr>
            <w:tcW w:w="1260" w:type="dxa"/>
          </w:tcPr>
          <w:p w:rsidR="00FC2F6C" w:rsidRDefault="00FC2F6C">
            <w:pPr>
              <w:pStyle w:val="Heading4"/>
              <w:jc w:val="center"/>
              <w:rPr>
                <w:b w:val="0"/>
                <w:szCs w:val="24"/>
                <w:lang w:val="es-ES"/>
              </w:rPr>
            </w:pPr>
            <w:r>
              <w:rPr>
                <w:szCs w:val="24"/>
                <w:lang w:val="es-ES"/>
              </w:rPr>
              <w:t>Percent</w:t>
            </w:r>
          </w:p>
        </w:tc>
        <w:tc>
          <w:tcPr>
            <w:tcW w:w="1170" w:type="dxa"/>
          </w:tcPr>
          <w:p w:rsidR="00FC2F6C" w:rsidRDefault="00FC2F6C">
            <w:pPr>
              <w:pStyle w:val="Heading4"/>
              <w:jc w:val="center"/>
              <w:rPr>
                <w:szCs w:val="24"/>
                <w:lang w:val="es-ES"/>
              </w:rPr>
            </w:pPr>
            <w:r>
              <w:rPr>
                <w:szCs w:val="24"/>
                <w:lang w:val="es-ES"/>
              </w:rPr>
              <w:t>Number</w:t>
            </w:r>
          </w:p>
        </w:tc>
        <w:tc>
          <w:tcPr>
            <w:tcW w:w="1514" w:type="dxa"/>
          </w:tcPr>
          <w:p w:rsidR="00FC2F6C" w:rsidRDefault="00FC2F6C">
            <w:pPr>
              <w:pStyle w:val="Heading4"/>
              <w:jc w:val="center"/>
              <w:rPr>
                <w:szCs w:val="24"/>
                <w:lang w:val="es-ES"/>
              </w:rPr>
            </w:pPr>
            <w:r>
              <w:rPr>
                <w:szCs w:val="24"/>
                <w:lang w:val="es-ES"/>
              </w:rPr>
              <w:t>Percent</w:t>
            </w:r>
          </w:p>
        </w:tc>
        <w:tc>
          <w:tcPr>
            <w:tcW w:w="1186" w:type="dxa"/>
          </w:tcPr>
          <w:p w:rsidR="00FC2F6C" w:rsidRDefault="00FC2F6C">
            <w:pPr>
              <w:pStyle w:val="Heading4"/>
              <w:jc w:val="center"/>
              <w:rPr>
                <w:szCs w:val="24"/>
                <w:lang w:val="es-ES"/>
              </w:rPr>
            </w:pPr>
            <w:r>
              <w:rPr>
                <w:szCs w:val="24"/>
                <w:lang w:val="es-ES"/>
              </w:rPr>
              <w:t>Number</w:t>
            </w:r>
          </w:p>
        </w:tc>
        <w:tc>
          <w:tcPr>
            <w:tcW w:w="1199" w:type="dxa"/>
          </w:tcPr>
          <w:p w:rsidR="00FC2F6C" w:rsidRDefault="00FC2F6C">
            <w:pPr>
              <w:pStyle w:val="Heading4"/>
              <w:jc w:val="center"/>
              <w:rPr>
                <w:szCs w:val="24"/>
                <w:lang w:val="es-ES"/>
              </w:rPr>
            </w:pPr>
            <w:r>
              <w:rPr>
                <w:szCs w:val="24"/>
                <w:lang w:val="es-ES"/>
              </w:rPr>
              <w:t>Percent</w:t>
            </w:r>
          </w:p>
        </w:tc>
      </w:tr>
      <w:tr w:rsidR="00FC2F6C">
        <w:trPr>
          <w:jc w:val="center"/>
        </w:trPr>
        <w:tc>
          <w:tcPr>
            <w:tcW w:w="2469" w:type="dxa"/>
          </w:tcPr>
          <w:p w:rsidR="00FC2F6C" w:rsidRDefault="00FC2F6C">
            <w:pPr>
              <w:pStyle w:val="Heading4"/>
              <w:rPr>
                <w:b w:val="0"/>
                <w:szCs w:val="24"/>
              </w:rPr>
            </w:pPr>
            <w:r>
              <w:rPr>
                <w:b w:val="0"/>
                <w:szCs w:val="24"/>
              </w:rPr>
              <w:t>Low-Income</w:t>
            </w:r>
          </w:p>
        </w:tc>
        <w:tc>
          <w:tcPr>
            <w:tcW w:w="1343" w:type="dxa"/>
          </w:tcPr>
          <w:p w:rsidR="00FC2F6C" w:rsidRDefault="00FC2F6C">
            <w:pPr>
              <w:pStyle w:val="ReferenceLine"/>
              <w:jc w:val="right"/>
              <w:rPr>
                <w:szCs w:val="24"/>
              </w:rPr>
            </w:pPr>
            <w:r>
              <w:rPr>
                <w:szCs w:val="24"/>
              </w:rPr>
              <w:t>15,835</w:t>
            </w:r>
          </w:p>
        </w:tc>
        <w:tc>
          <w:tcPr>
            <w:tcW w:w="1260" w:type="dxa"/>
          </w:tcPr>
          <w:p w:rsidR="00FC2F6C" w:rsidRDefault="00FC2F6C">
            <w:pPr>
              <w:jc w:val="right"/>
              <w:rPr>
                <w:sz w:val="24"/>
                <w:szCs w:val="24"/>
              </w:rPr>
            </w:pPr>
            <w:r>
              <w:rPr>
                <w:sz w:val="24"/>
                <w:szCs w:val="24"/>
              </w:rPr>
              <w:t>14.0%</w:t>
            </w:r>
          </w:p>
        </w:tc>
        <w:tc>
          <w:tcPr>
            <w:tcW w:w="1170" w:type="dxa"/>
          </w:tcPr>
          <w:p w:rsidR="00FC2F6C" w:rsidRDefault="00FC2F6C">
            <w:pPr>
              <w:jc w:val="right"/>
              <w:rPr>
                <w:sz w:val="24"/>
                <w:szCs w:val="24"/>
              </w:rPr>
            </w:pPr>
            <w:r>
              <w:rPr>
                <w:sz w:val="24"/>
                <w:szCs w:val="24"/>
              </w:rPr>
              <w:t>6,765</w:t>
            </w:r>
          </w:p>
        </w:tc>
        <w:tc>
          <w:tcPr>
            <w:tcW w:w="1514" w:type="dxa"/>
          </w:tcPr>
          <w:p w:rsidR="00FC2F6C" w:rsidRDefault="00FC2F6C">
            <w:pPr>
              <w:jc w:val="right"/>
              <w:rPr>
                <w:sz w:val="24"/>
                <w:szCs w:val="24"/>
              </w:rPr>
            </w:pPr>
            <w:r>
              <w:rPr>
                <w:sz w:val="24"/>
                <w:szCs w:val="24"/>
              </w:rPr>
              <w:t>5.1%</w:t>
            </w:r>
          </w:p>
        </w:tc>
        <w:tc>
          <w:tcPr>
            <w:tcW w:w="1186" w:type="dxa"/>
          </w:tcPr>
          <w:p w:rsidR="00FC2F6C" w:rsidRDefault="00FC2F6C">
            <w:pPr>
              <w:jc w:val="right"/>
              <w:rPr>
                <w:sz w:val="24"/>
                <w:szCs w:val="24"/>
              </w:rPr>
            </w:pPr>
            <w:r>
              <w:rPr>
                <w:sz w:val="24"/>
                <w:szCs w:val="24"/>
              </w:rPr>
              <w:t>22,600</w:t>
            </w:r>
          </w:p>
        </w:tc>
        <w:tc>
          <w:tcPr>
            <w:tcW w:w="1199" w:type="dxa"/>
          </w:tcPr>
          <w:p w:rsidR="00FC2F6C" w:rsidRDefault="00FC2F6C">
            <w:pPr>
              <w:jc w:val="right"/>
              <w:rPr>
                <w:sz w:val="24"/>
                <w:szCs w:val="24"/>
              </w:rPr>
            </w:pPr>
            <w:r>
              <w:rPr>
                <w:sz w:val="24"/>
                <w:szCs w:val="24"/>
              </w:rPr>
              <w:t>9.2%</w:t>
            </w:r>
          </w:p>
        </w:tc>
      </w:tr>
      <w:tr w:rsidR="00FC2F6C">
        <w:trPr>
          <w:trHeight w:val="305"/>
          <w:jc w:val="center"/>
        </w:trPr>
        <w:tc>
          <w:tcPr>
            <w:tcW w:w="2469" w:type="dxa"/>
          </w:tcPr>
          <w:p w:rsidR="00FC2F6C" w:rsidRDefault="00FC2F6C">
            <w:pPr>
              <w:pStyle w:val="Heading4"/>
              <w:rPr>
                <w:b w:val="0"/>
                <w:szCs w:val="24"/>
              </w:rPr>
            </w:pPr>
            <w:r>
              <w:rPr>
                <w:b w:val="0"/>
                <w:szCs w:val="24"/>
              </w:rPr>
              <w:t>Limited English Proficiency</w:t>
            </w:r>
            <w:r>
              <w:rPr>
                <w:rStyle w:val="FootnoteReference"/>
                <w:b w:val="0"/>
                <w:szCs w:val="24"/>
              </w:rPr>
              <w:footnoteReference w:id="2"/>
            </w:r>
          </w:p>
        </w:tc>
        <w:tc>
          <w:tcPr>
            <w:tcW w:w="1343" w:type="dxa"/>
          </w:tcPr>
          <w:p w:rsidR="00FC2F6C" w:rsidRDefault="00FC2F6C">
            <w:pPr>
              <w:pStyle w:val="Heading4"/>
              <w:tabs>
                <w:tab w:val="left" w:pos="601"/>
              </w:tabs>
              <w:jc w:val="right"/>
              <w:rPr>
                <w:b w:val="0"/>
                <w:szCs w:val="24"/>
              </w:rPr>
            </w:pPr>
            <w:r>
              <w:rPr>
                <w:b w:val="0"/>
                <w:szCs w:val="24"/>
              </w:rPr>
              <w:t>10,978</w:t>
            </w:r>
          </w:p>
        </w:tc>
        <w:tc>
          <w:tcPr>
            <w:tcW w:w="1260" w:type="dxa"/>
          </w:tcPr>
          <w:p w:rsidR="00FC2F6C" w:rsidRDefault="00FC2F6C">
            <w:pPr>
              <w:jc w:val="right"/>
              <w:rPr>
                <w:sz w:val="24"/>
                <w:szCs w:val="24"/>
              </w:rPr>
            </w:pPr>
            <w:r>
              <w:rPr>
                <w:sz w:val="24"/>
                <w:szCs w:val="24"/>
              </w:rPr>
              <w:t>9.9%</w:t>
            </w:r>
          </w:p>
        </w:tc>
        <w:tc>
          <w:tcPr>
            <w:tcW w:w="1170" w:type="dxa"/>
          </w:tcPr>
          <w:p w:rsidR="00FC2F6C" w:rsidRDefault="00FC2F6C">
            <w:pPr>
              <w:jc w:val="right"/>
              <w:rPr>
                <w:sz w:val="24"/>
                <w:szCs w:val="24"/>
              </w:rPr>
            </w:pPr>
            <w:r>
              <w:rPr>
                <w:sz w:val="24"/>
                <w:szCs w:val="24"/>
              </w:rPr>
              <w:t>9,030</w:t>
            </w:r>
          </w:p>
        </w:tc>
        <w:tc>
          <w:tcPr>
            <w:tcW w:w="1514" w:type="dxa"/>
          </w:tcPr>
          <w:p w:rsidR="00FC2F6C" w:rsidRDefault="00FC2F6C">
            <w:pPr>
              <w:jc w:val="right"/>
              <w:rPr>
                <w:sz w:val="24"/>
                <w:szCs w:val="24"/>
              </w:rPr>
            </w:pPr>
            <w:r>
              <w:rPr>
                <w:sz w:val="24"/>
                <w:szCs w:val="24"/>
              </w:rPr>
              <w:t>6.8%</w:t>
            </w:r>
          </w:p>
        </w:tc>
        <w:tc>
          <w:tcPr>
            <w:tcW w:w="1186" w:type="dxa"/>
          </w:tcPr>
          <w:p w:rsidR="00FC2F6C" w:rsidRDefault="00FC2F6C">
            <w:pPr>
              <w:jc w:val="right"/>
              <w:rPr>
                <w:sz w:val="24"/>
                <w:szCs w:val="24"/>
              </w:rPr>
            </w:pPr>
            <w:r>
              <w:rPr>
                <w:sz w:val="24"/>
                <w:szCs w:val="24"/>
              </w:rPr>
              <w:t>20,008</w:t>
            </w:r>
          </w:p>
        </w:tc>
        <w:tc>
          <w:tcPr>
            <w:tcW w:w="1199" w:type="dxa"/>
          </w:tcPr>
          <w:p w:rsidR="00FC2F6C" w:rsidRDefault="00FC2F6C">
            <w:pPr>
              <w:jc w:val="right"/>
              <w:rPr>
                <w:sz w:val="24"/>
                <w:szCs w:val="24"/>
              </w:rPr>
            </w:pPr>
            <w:r>
              <w:rPr>
                <w:sz w:val="24"/>
                <w:szCs w:val="24"/>
              </w:rPr>
              <w:t>8.5%</w:t>
            </w:r>
          </w:p>
        </w:tc>
      </w:tr>
    </w:tbl>
    <w:p w:rsidR="00FC2F6C" w:rsidRDefault="00FC2F6C">
      <w:pPr>
        <w:rPr>
          <w:bCs/>
          <w:sz w:val="28"/>
          <w:szCs w:val="28"/>
        </w:rPr>
      </w:pPr>
    </w:p>
    <w:p w:rsidR="00FC2F6C" w:rsidRDefault="00FC2F6C">
      <w:pPr>
        <w:rPr>
          <w:bCs/>
          <w:sz w:val="28"/>
          <w:szCs w:val="28"/>
        </w:rPr>
      </w:pPr>
    </w:p>
    <w:p w:rsidR="00FC2F6C" w:rsidRDefault="00FC2F6C">
      <w:pPr>
        <w:pStyle w:val="ListContinue2"/>
        <w:spacing w:after="0" w:line="360" w:lineRule="auto"/>
        <w:ind w:left="0" w:firstLine="720"/>
        <w:rPr>
          <w:sz w:val="28"/>
        </w:rPr>
      </w:pPr>
    </w:p>
    <w:p w:rsidR="00FC2F6C" w:rsidRDefault="00FC2F6C">
      <w:pPr>
        <w:pStyle w:val="BHLevel1"/>
        <w:tabs>
          <w:tab w:val="clear" w:pos="720"/>
        </w:tabs>
        <w:spacing w:line="360" w:lineRule="auto"/>
        <w:ind w:left="0" w:firstLine="0"/>
        <w:rPr>
          <w:sz w:val="28"/>
          <w:szCs w:val="28"/>
        </w:rPr>
      </w:pPr>
      <w:bookmarkStart w:id="9" w:name="_Toc106790241"/>
      <w:bookmarkStart w:id="10" w:name="_Toc201633540"/>
      <w:bookmarkEnd w:id="6"/>
      <w:bookmarkEnd w:id="7"/>
      <w:bookmarkEnd w:id="8"/>
      <w:r>
        <w:rPr>
          <w:sz w:val="28"/>
          <w:szCs w:val="28"/>
          <w:u w:val="none"/>
        </w:rPr>
        <w:t>V.</w:t>
      </w:r>
      <w:r>
        <w:rPr>
          <w:sz w:val="28"/>
          <w:szCs w:val="28"/>
          <w:u w:val="none"/>
        </w:rPr>
        <w:tab/>
      </w:r>
      <w:r>
        <w:rPr>
          <w:sz w:val="28"/>
          <w:szCs w:val="28"/>
        </w:rPr>
        <w:t>SCOPE AND METHODOLOGY</w:t>
      </w:r>
      <w:bookmarkEnd w:id="9"/>
      <w:bookmarkEnd w:id="10"/>
    </w:p>
    <w:p w:rsidR="00FC2F6C" w:rsidRDefault="00FC2F6C">
      <w:pPr>
        <w:pStyle w:val="Heading4"/>
        <w:spacing w:line="360" w:lineRule="auto"/>
        <w:rPr>
          <w:sz w:val="28"/>
          <w:szCs w:val="28"/>
        </w:rPr>
      </w:pPr>
      <w:r>
        <w:rPr>
          <w:sz w:val="28"/>
          <w:szCs w:val="28"/>
        </w:rPr>
        <w:lastRenderedPageBreak/>
        <w:t>Scope</w:t>
      </w:r>
    </w:p>
    <w:p w:rsidR="00FC2F6C" w:rsidRDefault="00FC2F6C">
      <w:pPr>
        <w:spacing w:line="360" w:lineRule="auto"/>
        <w:rPr>
          <w:sz w:val="28"/>
          <w:szCs w:val="28"/>
        </w:rPr>
      </w:pPr>
      <w:r>
        <w:rPr>
          <w:sz w:val="28"/>
          <w:szCs w:val="28"/>
        </w:rPr>
        <w:t xml:space="preserve">The Title VI Compliance Review of Transfort examined the following requirements as specified in FTA Circular 4702.1A: </w:t>
      </w:r>
    </w:p>
    <w:p w:rsidR="00FC2F6C" w:rsidRDefault="00FC2F6C">
      <w:pPr>
        <w:spacing w:line="360" w:lineRule="auto"/>
        <w:rPr>
          <w:sz w:val="28"/>
          <w:szCs w:val="28"/>
        </w:rPr>
      </w:pPr>
    </w:p>
    <w:p w:rsidR="00FC2F6C" w:rsidRDefault="00FC2F6C">
      <w:pPr>
        <w:numPr>
          <w:ilvl w:val="0"/>
          <w:numId w:val="4"/>
        </w:numPr>
        <w:spacing w:line="360" w:lineRule="auto"/>
        <w:rPr>
          <w:sz w:val="28"/>
          <w:szCs w:val="28"/>
        </w:rPr>
      </w:pPr>
      <w:r>
        <w:rPr>
          <w:sz w:val="28"/>
          <w:szCs w:val="28"/>
          <w:u w:val="single"/>
        </w:rPr>
        <w:t>General Reporting Requirements and Guidelines</w:t>
      </w:r>
      <w:r>
        <w:rPr>
          <w:sz w:val="28"/>
          <w:szCs w:val="28"/>
        </w:rPr>
        <w:t xml:space="preserve"> - all applicants, recipients and subrecipients shall maintain and submit the following:  </w:t>
      </w:r>
    </w:p>
    <w:p w:rsidR="00FC2F6C" w:rsidRDefault="00FC2F6C">
      <w:pPr>
        <w:rPr>
          <w:sz w:val="28"/>
          <w:szCs w:val="28"/>
        </w:rPr>
      </w:pPr>
    </w:p>
    <w:p w:rsidR="00FC2F6C" w:rsidRDefault="00FC2F6C">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C2F6C" w:rsidRDefault="00FC2F6C">
      <w:pPr>
        <w:numPr>
          <w:ilvl w:val="0"/>
          <w:numId w:val="5"/>
        </w:numPr>
        <w:tabs>
          <w:tab w:val="clear" w:pos="360"/>
          <w:tab w:val="num" w:pos="1440"/>
        </w:tabs>
        <w:spacing w:line="360" w:lineRule="auto"/>
        <w:ind w:left="1440"/>
        <w:rPr>
          <w:sz w:val="28"/>
          <w:szCs w:val="28"/>
        </w:rPr>
      </w:pPr>
      <w:r>
        <w:rPr>
          <w:sz w:val="28"/>
          <w:szCs w:val="28"/>
        </w:rPr>
        <w:t>Title VI Complaint Procedures;</w:t>
      </w:r>
    </w:p>
    <w:p w:rsidR="00FC2F6C" w:rsidRDefault="00FC2F6C">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C2F6C" w:rsidRDefault="00FC2F6C">
      <w:pPr>
        <w:numPr>
          <w:ilvl w:val="0"/>
          <w:numId w:val="5"/>
        </w:numPr>
        <w:tabs>
          <w:tab w:val="clear" w:pos="360"/>
          <w:tab w:val="num" w:pos="1440"/>
        </w:tabs>
        <w:spacing w:line="360" w:lineRule="auto"/>
        <w:ind w:left="1440"/>
        <w:rPr>
          <w:sz w:val="28"/>
          <w:szCs w:val="28"/>
        </w:rPr>
      </w:pPr>
      <w:r>
        <w:rPr>
          <w:sz w:val="28"/>
          <w:szCs w:val="28"/>
        </w:rPr>
        <w:t>Language Access to LEP Persons;</w:t>
      </w:r>
    </w:p>
    <w:p w:rsidR="00FC2F6C" w:rsidRDefault="00FC2F6C">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C2F6C" w:rsidRDefault="00FC2F6C">
      <w:pPr>
        <w:numPr>
          <w:ilvl w:val="0"/>
          <w:numId w:val="5"/>
        </w:numPr>
        <w:tabs>
          <w:tab w:val="clear" w:pos="360"/>
          <w:tab w:val="num" w:pos="1440"/>
        </w:tabs>
        <w:spacing w:line="360" w:lineRule="auto"/>
        <w:ind w:left="1440"/>
        <w:rPr>
          <w:sz w:val="28"/>
          <w:szCs w:val="28"/>
        </w:rPr>
      </w:pPr>
      <w:r>
        <w:rPr>
          <w:sz w:val="28"/>
          <w:szCs w:val="28"/>
        </w:rPr>
        <w:t>Submit Title VI Program;</w:t>
      </w:r>
    </w:p>
    <w:p w:rsidR="00FC2F6C" w:rsidRDefault="00FC2F6C">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C2F6C" w:rsidRDefault="00FC2F6C">
      <w:pPr>
        <w:numPr>
          <w:ilvl w:val="0"/>
          <w:numId w:val="5"/>
        </w:numPr>
        <w:tabs>
          <w:tab w:val="clear" w:pos="360"/>
          <w:tab w:val="num" w:pos="1440"/>
        </w:tabs>
        <w:spacing w:line="360" w:lineRule="auto"/>
        <w:ind w:left="1440"/>
        <w:rPr>
          <w:sz w:val="28"/>
          <w:szCs w:val="28"/>
        </w:rPr>
      </w:pPr>
      <w:r>
        <w:rPr>
          <w:sz w:val="28"/>
          <w:szCs w:val="28"/>
        </w:rPr>
        <w:t>Inclusive Public Participation.</w:t>
      </w:r>
    </w:p>
    <w:p w:rsidR="00FC2F6C" w:rsidRDefault="00FC2F6C">
      <w:pPr>
        <w:spacing w:line="360" w:lineRule="auto"/>
        <w:rPr>
          <w:sz w:val="28"/>
          <w:szCs w:val="28"/>
        </w:rPr>
      </w:pPr>
    </w:p>
    <w:p w:rsidR="00FC2F6C" w:rsidRDefault="00FC2F6C">
      <w:pPr>
        <w:numPr>
          <w:ilvl w:val="0"/>
          <w:numId w:val="4"/>
        </w:numPr>
        <w:spacing w:line="360" w:lineRule="auto"/>
        <w:rPr>
          <w:sz w:val="28"/>
          <w:szCs w:val="28"/>
        </w:rPr>
      </w:pPr>
      <w:r>
        <w:rPr>
          <w:sz w:val="28"/>
          <w:szCs w:val="28"/>
          <w:u w:val="single"/>
        </w:rPr>
        <w:t>Program-Specific Requirements and Guidelines</w:t>
      </w:r>
      <w:r>
        <w:rPr>
          <w:sz w:val="28"/>
          <w:szCs w:val="28"/>
        </w:rPr>
        <w:t xml:space="preserve"> - all applicants, recipients and subrecipients that provide public mass transit service in areas with populations over 200,000 shall also submit the following: </w:t>
      </w:r>
    </w:p>
    <w:p w:rsidR="00FC2F6C" w:rsidRDefault="00FC2F6C">
      <w:pPr>
        <w:spacing w:line="360" w:lineRule="auto"/>
        <w:ind w:left="360"/>
        <w:rPr>
          <w:sz w:val="28"/>
          <w:szCs w:val="28"/>
        </w:rPr>
      </w:pPr>
    </w:p>
    <w:p w:rsidR="00FC2F6C" w:rsidRDefault="00FC2F6C">
      <w:pPr>
        <w:numPr>
          <w:ilvl w:val="0"/>
          <w:numId w:val="6"/>
        </w:numPr>
        <w:tabs>
          <w:tab w:val="clear" w:pos="360"/>
          <w:tab w:val="num" w:pos="1440"/>
        </w:tabs>
        <w:spacing w:line="360" w:lineRule="auto"/>
        <w:ind w:left="1440"/>
        <w:rPr>
          <w:sz w:val="28"/>
          <w:szCs w:val="28"/>
        </w:rPr>
      </w:pPr>
      <w:r>
        <w:rPr>
          <w:sz w:val="28"/>
          <w:szCs w:val="28"/>
        </w:rPr>
        <w:t xml:space="preserve">Demographic Data; </w:t>
      </w:r>
    </w:p>
    <w:p w:rsidR="00FC2F6C" w:rsidRDefault="00FC2F6C">
      <w:pPr>
        <w:numPr>
          <w:ilvl w:val="0"/>
          <w:numId w:val="6"/>
        </w:numPr>
        <w:tabs>
          <w:tab w:val="clear" w:pos="360"/>
          <w:tab w:val="num" w:pos="1440"/>
        </w:tabs>
        <w:spacing w:line="360" w:lineRule="auto"/>
        <w:ind w:left="1440"/>
        <w:rPr>
          <w:sz w:val="28"/>
          <w:szCs w:val="28"/>
        </w:rPr>
      </w:pPr>
      <w:r>
        <w:rPr>
          <w:sz w:val="28"/>
          <w:szCs w:val="28"/>
        </w:rPr>
        <w:t xml:space="preserve">Systemwide Service Standards and Policies; </w:t>
      </w:r>
    </w:p>
    <w:p w:rsidR="00FC2F6C" w:rsidRDefault="00FC2F6C">
      <w:pPr>
        <w:numPr>
          <w:ilvl w:val="0"/>
          <w:numId w:val="6"/>
        </w:numPr>
        <w:tabs>
          <w:tab w:val="clear" w:pos="360"/>
          <w:tab w:val="num" w:pos="1440"/>
        </w:tabs>
        <w:spacing w:line="360" w:lineRule="auto"/>
        <w:ind w:left="1440"/>
        <w:rPr>
          <w:sz w:val="28"/>
          <w:szCs w:val="28"/>
        </w:rPr>
      </w:pPr>
      <w:r>
        <w:rPr>
          <w:sz w:val="28"/>
          <w:szCs w:val="28"/>
        </w:rPr>
        <w:t>Evaluation of Service and Fare Changes; and</w:t>
      </w:r>
    </w:p>
    <w:p w:rsidR="00FC2F6C" w:rsidRDefault="00FC2F6C">
      <w:pPr>
        <w:numPr>
          <w:ilvl w:val="0"/>
          <w:numId w:val="6"/>
        </w:numPr>
        <w:tabs>
          <w:tab w:val="clear" w:pos="360"/>
          <w:tab w:val="num" w:pos="1440"/>
        </w:tabs>
        <w:spacing w:line="360" w:lineRule="auto"/>
        <w:ind w:left="1440"/>
        <w:rPr>
          <w:sz w:val="28"/>
          <w:szCs w:val="28"/>
        </w:rPr>
      </w:pPr>
      <w:r>
        <w:rPr>
          <w:sz w:val="28"/>
          <w:szCs w:val="28"/>
        </w:rPr>
        <w:t xml:space="preserve">Monitoring Transit Service. </w:t>
      </w:r>
    </w:p>
    <w:p w:rsidR="00FC2F6C" w:rsidRDefault="00FC2F6C">
      <w:pPr>
        <w:spacing w:line="360" w:lineRule="auto"/>
        <w:ind w:left="360"/>
        <w:rPr>
          <w:sz w:val="28"/>
          <w:szCs w:val="28"/>
        </w:rPr>
      </w:pPr>
    </w:p>
    <w:p w:rsidR="00FC2F6C" w:rsidRDefault="00FC2F6C">
      <w:pPr>
        <w:pStyle w:val="Heading4"/>
        <w:spacing w:line="360" w:lineRule="auto"/>
        <w:rPr>
          <w:sz w:val="28"/>
          <w:szCs w:val="28"/>
        </w:rPr>
      </w:pPr>
      <w:r>
        <w:rPr>
          <w:sz w:val="28"/>
          <w:szCs w:val="28"/>
        </w:rPr>
        <w:lastRenderedPageBreak/>
        <w:t>Methodology</w:t>
      </w:r>
    </w:p>
    <w:p w:rsidR="00FC2F6C" w:rsidRDefault="00FC2F6C">
      <w:pPr>
        <w:spacing w:line="360" w:lineRule="auto"/>
        <w:rPr>
          <w:sz w:val="28"/>
          <w:szCs w:val="28"/>
        </w:rPr>
      </w:pPr>
      <w:r>
        <w:rPr>
          <w:sz w:val="28"/>
          <w:szCs w:val="28"/>
        </w:rPr>
        <w:t>Initial interviews were conducted with the FTA Headquarters Civil Rights staff and the FTA Region VIII Civil Rights Officer to discuss specific Title VI issues and concerns regarding Transfort.</w:t>
      </w:r>
      <w:r>
        <w:rPr>
          <w:color w:val="33CCCC"/>
          <w:sz w:val="28"/>
          <w:szCs w:val="28"/>
        </w:rPr>
        <w:t xml:space="preserve">  </w:t>
      </w:r>
      <w:r>
        <w:rPr>
          <w:sz w:val="28"/>
          <w:szCs w:val="28"/>
        </w:rPr>
        <w:t xml:space="preserve">An agenda letter covering the Review was sent to Transfort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 and (2) Program-Specific Requirements for public transit providers.  The General Reporting Requirements now include implementation of the Environmental Justice (EJ) and Limited English Proficiency (LEP) Executive Orders.  </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 was requested to provide the following Title VI information:</w:t>
      </w:r>
    </w:p>
    <w:p w:rsidR="00FC2F6C" w:rsidRDefault="00FC2F6C">
      <w:pPr>
        <w:pStyle w:val="BodyTextIndent2"/>
      </w:pPr>
    </w:p>
    <w:p w:rsidR="00FC2F6C" w:rsidRDefault="00FC2F6C" w:rsidP="00FC2F6C">
      <w:pPr>
        <w:pStyle w:val="BodyTextIndent2"/>
        <w:numPr>
          <w:ilvl w:val="0"/>
          <w:numId w:val="12"/>
        </w:numPr>
        <w:spacing w:line="360" w:lineRule="auto"/>
        <w:rPr>
          <w:sz w:val="28"/>
        </w:rPr>
      </w:pPr>
      <w:r>
        <w:rPr>
          <w:sz w:val="28"/>
        </w:rPr>
        <w:t>The most recent Title VI Program that was submitted to FTA by the City of Fort Collins.</w:t>
      </w:r>
    </w:p>
    <w:p w:rsidR="00FC2F6C" w:rsidRDefault="00FC2F6C">
      <w:pPr>
        <w:pStyle w:val="BodyTextIndent2"/>
        <w:spacing w:line="360" w:lineRule="auto"/>
        <w:rPr>
          <w:sz w:val="28"/>
        </w:rPr>
      </w:pPr>
    </w:p>
    <w:p w:rsidR="00FC2F6C" w:rsidRDefault="00FC2F6C" w:rsidP="00FC2F6C">
      <w:pPr>
        <w:pStyle w:val="BodyTextIndent2"/>
        <w:numPr>
          <w:ilvl w:val="0"/>
          <w:numId w:val="12"/>
        </w:numPr>
        <w:spacing w:line="360" w:lineRule="auto"/>
        <w:rPr>
          <w:sz w:val="28"/>
        </w:rPr>
      </w:pPr>
      <w:r>
        <w:rPr>
          <w:sz w:val="28"/>
        </w:rPr>
        <w:t>Description of Transfort’s service area, including general population and other demographic information using the most recent Census data.</w:t>
      </w:r>
    </w:p>
    <w:p w:rsidR="00FC2F6C" w:rsidRDefault="00FC2F6C">
      <w:pPr>
        <w:pStyle w:val="BodyTextIndent2"/>
        <w:spacing w:line="360" w:lineRule="auto"/>
        <w:ind w:firstLine="0"/>
        <w:rPr>
          <w:sz w:val="28"/>
        </w:rPr>
      </w:pPr>
    </w:p>
    <w:p w:rsidR="00FC2F6C" w:rsidRDefault="00FC2F6C" w:rsidP="00FC2F6C">
      <w:pPr>
        <w:pStyle w:val="BodyTextIndent2"/>
        <w:numPr>
          <w:ilvl w:val="0"/>
          <w:numId w:val="12"/>
        </w:numPr>
        <w:spacing w:line="360" w:lineRule="auto"/>
        <w:rPr>
          <w:sz w:val="28"/>
        </w:rPr>
      </w:pPr>
      <w:r>
        <w:rPr>
          <w:sz w:val="28"/>
        </w:rPr>
        <w:t>Current description of Transfort’s transit service, including system maps, public timetables, transit service brochures, etc.</w:t>
      </w:r>
    </w:p>
    <w:p w:rsidR="00FC2F6C" w:rsidRDefault="00FC2F6C">
      <w:pPr>
        <w:pStyle w:val="BodyTextIndent2"/>
        <w:tabs>
          <w:tab w:val="num" w:pos="630"/>
        </w:tabs>
        <w:spacing w:line="360" w:lineRule="auto"/>
        <w:ind w:left="630" w:hanging="630"/>
        <w:rPr>
          <w:sz w:val="28"/>
        </w:rPr>
      </w:pPr>
    </w:p>
    <w:p w:rsidR="00FC2F6C" w:rsidRDefault="00FC2F6C" w:rsidP="00FC2F6C">
      <w:pPr>
        <w:pStyle w:val="BodyTextIndent2"/>
        <w:numPr>
          <w:ilvl w:val="0"/>
          <w:numId w:val="12"/>
        </w:numPr>
        <w:spacing w:line="360" w:lineRule="auto"/>
        <w:rPr>
          <w:sz w:val="28"/>
        </w:rPr>
      </w:pPr>
      <w:r>
        <w:rPr>
          <w:sz w:val="28"/>
        </w:rPr>
        <w:t>Roster of current Transfort’s revenue bus and ADA paratransit fleet, to include acquisition date, fuel type, seating configurations and other amenities.</w:t>
      </w:r>
    </w:p>
    <w:p w:rsidR="00FC2F6C" w:rsidRDefault="00FC2F6C">
      <w:pPr>
        <w:pStyle w:val="BodyTextIndent2"/>
        <w:spacing w:line="360" w:lineRule="auto"/>
        <w:ind w:firstLine="0"/>
        <w:rPr>
          <w:sz w:val="28"/>
        </w:rPr>
      </w:pPr>
    </w:p>
    <w:p w:rsidR="00FC2F6C" w:rsidRDefault="00FC2F6C" w:rsidP="00FC2F6C">
      <w:pPr>
        <w:pStyle w:val="BodyTextIndent2"/>
        <w:numPr>
          <w:ilvl w:val="0"/>
          <w:numId w:val="12"/>
        </w:numPr>
        <w:spacing w:line="360" w:lineRule="auto"/>
        <w:rPr>
          <w:sz w:val="28"/>
        </w:rPr>
      </w:pPr>
      <w:r>
        <w:rPr>
          <w:sz w:val="28"/>
        </w:rPr>
        <w:t>Description of transit amenities maintained by Transfort and/or the City of Fort Collins.  Amenities include shelters, benches, restrooms, telephones, passenger information systems, transit centers, etc.</w:t>
      </w:r>
    </w:p>
    <w:p w:rsidR="00FC2F6C" w:rsidRDefault="00FC2F6C">
      <w:pPr>
        <w:pStyle w:val="BodyTextIndent2"/>
        <w:spacing w:line="360" w:lineRule="auto"/>
        <w:ind w:firstLine="0"/>
        <w:rPr>
          <w:sz w:val="28"/>
        </w:rPr>
      </w:pPr>
    </w:p>
    <w:p w:rsidR="00FC2F6C" w:rsidRDefault="00FC2F6C" w:rsidP="00FC2F6C">
      <w:pPr>
        <w:pStyle w:val="BodyTextIndent2"/>
        <w:numPr>
          <w:ilvl w:val="0"/>
          <w:numId w:val="12"/>
        </w:numPr>
        <w:spacing w:line="360" w:lineRule="auto"/>
        <w:rPr>
          <w:sz w:val="28"/>
        </w:rPr>
      </w:pPr>
      <w:r>
        <w:rPr>
          <w:sz w:val="28"/>
        </w:rPr>
        <w:t>Any studies or surveys conducted by Transfort and/or the City of Fort Collins, its consultants or other interested parties (colleges or universities, community groups, etc.) regarding transit ridership, service levels and amenities, passenger satisfaction, passenger demographics, major service reductions, or fare issues during the past three years.</w:t>
      </w:r>
    </w:p>
    <w:p w:rsidR="00FC2F6C" w:rsidRDefault="00FC2F6C">
      <w:pPr>
        <w:pStyle w:val="BodyTextIndent2"/>
        <w:tabs>
          <w:tab w:val="num" w:pos="720"/>
        </w:tabs>
        <w:spacing w:line="360" w:lineRule="auto"/>
        <w:ind w:left="630" w:hanging="630"/>
        <w:rPr>
          <w:sz w:val="28"/>
        </w:rPr>
      </w:pPr>
    </w:p>
    <w:p w:rsidR="00FC2F6C" w:rsidRDefault="00FC2F6C" w:rsidP="00FC2F6C">
      <w:pPr>
        <w:numPr>
          <w:ilvl w:val="0"/>
          <w:numId w:val="12"/>
        </w:numPr>
        <w:spacing w:line="360" w:lineRule="auto"/>
        <w:rPr>
          <w:sz w:val="28"/>
        </w:rPr>
      </w:pPr>
      <w:r>
        <w:rPr>
          <w:sz w:val="28"/>
        </w:rPr>
        <w:t>Summary of Transfort and/or the City of Fort Collins’ current efforts to seek out and consider the viewpoints of minority, low-income, and LEP populations in the course of conducting public outreach and involvement activities.</w:t>
      </w:r>
    </w:p>
    <w:p w:rsidR="00FC2F6C" w:rsidRDefault="00FC2F6C">
      <w:pPr>
        <w:spacing w:line="360" w:lineRule="auto"/>
        <w:rPr>
          <w:sz w:val="28"/>
        </w:rPr>
      </w:pPr>
    </w:p>
    <w:p w:rsidR="00FC2F6C" w:rsidRDefault="00FC2F6C" w:rsidP="00FC2F6C">
      <w:pPr>
        <w:numPr>
          <w:ilvl w:val="0"/>
          <w:numId w:val="12"/>
        </w:numPr>
        <w:spacing w:line="360" w:lineRule="auto"/>
        <w:rPr>
          <w:sz w:val="28"/>
        </w:rPr>
      </w:pPr>
      <w:r>
        <w:rPr>
          <w:sz w:val="28"/>
        </w:rPr>
        <w:t xml:space="preserve">Summary of Transfort and/or the City of Fort Collins’ current efforts for providing language assistance for persons with Limited English Proficiency that is based on the USDOT LEP Guidance.  </w:t>
      </w:r>
    </w:p>
    <w:p w:rsidR="00FC2F6C" w:rsidRDefault="00FC2F6C">
      <w:pPr>
        <w:pStyle w:val="BodyText"/>
        <w:spacing w:line="360" w:lineRule="auto"/>
        <w:ind w:left="720"/>
        <w:rPr>
          <w:sz w:val="28"/>
        </w:rPr>
      </w:pPr>
    </w:p>
    <w:p w:rsidR="00FC2F6C" w:rsidRDefault="00FC2F6C" w:rsidP="00FC2F6C">
      <w:pPr>
        <w:numPr>
          <w:ilvl w:val="0"/>
          <w:numId w:val="12"/>
        </w:numPr>
        <w:spacing w:line="360" w:lineRule="auto"/>
        <w:rPr>
          <w:sz w:val="28"/>
        </w:rPr>
      </w:pPr>
      <w:r>
        <w:rPr>
          <w:kern w:val="32"/>
          <w:sz w:val="28"/>
        </w:rPr>
        <w:t xml:space="preserve">A list of any active investigations conducted by entities other than FTA, lawsuits, or complaints naming </w:t>
      </w:r>
      <w:r>
        <w:rPr>
          <w:sz w:val="28"/>
        </w:rPr>
        <w:t xml:space="preserve">Transfort and/or </w:t>
      </w:r>
      <w:r>
        <w:rPr>
          <w:kern w:val="32"/>
          <w:sz w:val="28"/>
        </w:rPr>
        <w:t xml:space="preserve">the City of Fort Collins that allege discrimination in the provision of transit service and related amenities, on the basis of race, color, or national origin.  This list must include the date of the investigation, lawsuit, or complaint was filed; a summary of the allegation(s); the status of the investigation, lawsuit, or </w:t>
      </w:r>
      <w:r>
        <w:rPr>
          <w:kern w:val="32"/>
          <w:sz w:val="28"/>
        </w:rPr>
        <w:lastRenderedPageBreak/>
        <w:t xml:space="preserve">complaint; and actions taken by </w:t>
      </w:r>
      <w:r>
        <w:rPr>
          <w:sz w:val="28"/>
        </w:rPr>
        <w:t xml:space="preserve">Transfort and/or the City of Fort Collins </w:t>
      </w:r>
      <w:r>
        <w:rPr>
          <w:kern w:val="32"/>
          <w:sz w:val="28"/>
        </w:rPr>
        <w:t>in response to the investigation, lawsuit, or complaint.</w:t>
      </w:r>
    </w:p>
    <w:p w:rsidR="00FC2F6C" w:rsidRDefault="00FC2F6C">
      <w:pPr>
        <w:spacing w:line="360" w:lineRule="auto"/>
        <w:rPr>
          <w:sz w:val="28"/>
        </w:rPr>
      </w:pPr>
    </w:p>
    <w:p w:rsidR="00FC2F6C" w:rsidRDefault="00FC2F6C" w:rsidP="00FC2F6C">
      <w:pPr>
        <w:numPr>
          <w:ilvl w:val="0"/>
          <w:numId w:val="12"/>
        </w:numPr>
        <w:spacing w:line="360" w:lineRule="auto"/>
        <w:rPr>
          <w:sz w:val="28"/>
        </w:rPr>
      </w:pPr>
      <w:r>
        <w:rPr>
          <w:sz w:val="28"/>
        </w:rPr>
        <w:t>A description of efforts made by Transfort and/or the City of Fort Collins to notify beneficiaries of their rights and protections against discrimination afforded to them by Title VI.</w:t>
      </w:r>
    </w:p>
    <w:p w:rsidR="00FC2F6C" w:rsidRDefault="00FC2F6C">
      <w:pPr>
        <w:spacing w:line="360" w:lineRule="auto"/>
        <w:rPr>
          <w:sz w:val="28"/>
        </w:rPr>
      </w:pPr>
    </w:p>
    <w:p w:rsidR="00FC2F6C" w:rsidRDefault="00FC2F6C" w:rsidP="00FC2F6C">
      <w:pPr>
        <w:numPr>
          <w:ilvl w:val="0"/>
          <w:numId w:val="12"/>
        </w:numPr>
        <w:spacing w:line="360" w:lineRule="auto"/>
        <w:rPr>
          <w:sz w:val="28"/>
        </w:rPr>
      </w:pPr>
      <w:r>
        <w:rPr>
          <w:sz w:val="28"/>
        </w:rPr>
        <w:t>Copies of any environmental justice assessments conducted for FTA-funded construction projects and, if needed, a description of the program or other measures used or planned to mitigate any identified adverse impact on the minority or low-income communities.</w:t>
      </w:r>
    </w:p>
    <w:p w:rsidR="00FC2F6C" w:rsidRDefault="00FC2F6C">
      <w:pPr>
        <w:pStyle w:val="ColorfulList-Accent11"/>
        <w:spacing w:line="360" w:lineRule="auto"/>
        <w:rPr>
          <w:sz w:val="28"/>
        </w:rPr>
      </w:pPr>
    </w:p>
    <w:p w:rsidR="00FC2F6C" w:rsidRDefault="00FC2F6C" w:rsidP="00FC2F6C">
      <w:pPr>
        <w:numPr>
          <w:ilvl w:val="0"/>
          <w:numId w:val="12"/>
        </w:numPr>
        <w:spacing w:line="360" w:lineRule="auto"/>
        <w:rPr>
          <w:sz w:val="28"/>
        </w:rPr>
      </w:pPr>
      <w:r>
        <w:rPr>
          <w:sz w:val="28"/>
        </w:rPr>
        <w:t>A description of efforts made by Transfort and/or the City of Fort Collins to monitor its services to assure compliance with Circular 4702.1A.</w:t>
      </w:r>
    </w:p>
    <w:p w:rsidR="00FC2F6C" w:rsidRDefault="00FC2F6C">
      <w:pPr>
        <w:pStyle w:val="BodyText2"/>
        <w:spacing w:line="360" w:lineRule="auto"/>
        <w:jc w:val="left"/>
        <w:rPr>
          <w:b w:val="0"/>
          <w:bCs/>
          <w:sz w:val="28"/>
          <w:szCs w:val="28"/>
        </w:rPr>
      </w:pPr>
    </w:p>
    <w:p w:rsidR="00FC2F6C" w:rsidRDefault="00FC2F6C">
      <w:pPr>
        <w:pStyle w:val="BodyText2"/>
        <w:spacing w:line="360" w:lineRule="auto"/>
        <w:jc w:val="left"/>
        <w:rPr>
          <w:b w:val="0"/>
          <w:bCs/>
          <w:sz w:val="28"/>
          <w:szCs w:val="28"/>
        </w:rPr>
      </w:pPr>
      <w:r>
        <w:rPr>
          <w:b w:val="0"/>
          <w:bCs/>
          <w:sz w:val="28"/>
          <w:szCs w:val="28"/>
        </w:rPr>
        <w:t>Transfort assembled most of the documents prior to the site visit and provided them to the Compliance Review team for advance review. A detailed schedule for the three-day site visit was developed.</w:t>
      </w:r>
    </w:p>
    <w:p w:rsidR="00FC2F6C" w:rsidRDefault="00FC2F6C">
      <w:pPr>
        <w:pStyle w:val="BodyText2"/>
        <w:spacing w:line="360" w:lineRule="auto"/>
        <w:jc w:val="left"/>
        <w:rPr>
          <w:b w:val="0"/>
          <w:bCs/>
          <w:sz w:val="28"/>
          <w:szCs w:val="28"/>
        </w:rPr>
      </w:pPr>
    </w:p>
    <w:p w:rsidR="00FC2F6C" w:rsidRDefault="00FC2F6C">
      <w:pPr>
        <w:pStyle w:val="BodyText2"/>
        <w:spacing w:line="360" w:lineRule="auto"/>
        <w:jc w:val="left"/>
        <w:rPr>
          <w:b w:val="0"/>
          <w:sz w:val="28"/>
        </w:rPr>
      </w:pPr>
      <w:r>
        <w:rPr>
          <w:b w:val="0"/>
          <w:bCs/>
          <w:sz w:val="28"/>
          <w:szCs w:val="28"/>
        </w:rPr>
        <w:t xml:space="preserve">The site visit to Transfort occurred October 6 - 8, 2009.  </w:t>
      </w:r>
      <w:r>
        <w:rPr>
          <w:b w:val="0"/>
          <w:sz w:val="28"/>
        </w:rPr>
        <w:t xml:space="preserve">The Entrance Conference was conducted at the beginning of the Compliance Review with Transfort senior management staff, the FTA Region VIII Regional Civil Rights Officer (via telephone), and the contractor Review team.  The Review team showed the participants a U.S. Justice Department Title VI film during the Entrance Conference.  Also, during the Entrance Conference, the Review team </w:t>
      </w:r>
      <w:r>
        <w:rPr>
          <w:b w:val="0"/>
          <w:sz w:val="28"/>
        </w:rPr>
        <w:lastRenderedPageBreak/>
        <w:t xml:space="preserve">explained the goals of the Review and the needed cooperation of staff members.  </w:t>
      </w:r>
      <w:r>
        <w:rPr>
          <w:b w:val="0"/>
          <w:bCs/>
          <w:sz w:val="28"/>
          <w:szCs w:val="28"/>
        </w:rPr>
        <w:t>A detailed schedule for conducting the on-site visit was discussed.</w:t>
      </w:r>
    </w:p>
    <w:p w:rsidR="00FC2F6C" w:rsidRDefault="00FC2F6C">
      <w:pPr>
        <w:pStyle w:val="BodyText2"/>
        <w:spacing w:line="360" w:lineRule="auto"/>
        <w:rPr>
          <w:b w:val="0"/>
          <w:sz w:val="28"/>
        </w:rPr>
      </w:pPr>
    </w:p>
    <w:p w:rsidR="00FC2F6C" w:rsidRDefault="00FC2F6C">
      <w:pPr>
        <w:spacing w:line="360" w:lineRule="auto"/>
        <w:rPr>
          <w:bCs/>
          <w:sz w:val="28"/>
        </w:rPr>
      </w:pPr>
      <w:r>
        <w:rPr>
          <w:bCs/>
          <w:sz w:val="28"/>
        </w:rPr>
        <w:t>Following the Entrance Conference, the Title VI Compliance Review team met with Transfort staff responsible for Title VI Compliance.  During this meeting, discussions focused on a detailed examination of documents submitted in advance of the site visit and documents provided at the site visit by Transfort.</w:t>
      </w:r>
    </w:p>
    <w:p w:rsidR="00FC2F6C" w:rsidRDefault="00FC2F6C">
      <w:pPr>
        <w:spacing w:line="360" w:lineRule="auto"/>
        <w:rPr>
          <w:sz w:val="28"/>
        </w:rPr>
      </w:pPr>
      <w:r>
        <w:rPr>
          <w:bCs/>
          <w:sz w:val="28"/>
        </w:rPr>
        <w:t xml:space="preserve">The Review team then met with Transfort staff to discuss how Transport incorporated the FTA Title VI requirements into its public transportation system. </w:t>
      </w:r>
      <w:r>
        <w:rPr>
          <w:sz w:val="28"/>
        </w:rPr>
        <w:t>At the end of the site visit, an Exit Conference was held with Transfort management staff, the FTA Region VIII Regional Civil Rights Officer (via telephone), and the contractor Review team.  A list of attendees for the Title VI Compliance Review is included in Section VIII of this report.  At the Exit Conference, initial findings and corrective actions were discussed with Transfort.</w:t>
      </w:r>
    </w:p>
    <w:p w:rsidR="00FC2F6C" w:rsidRDefault="00FC2F6C">
      <w:pPr>
        <w:tabs>
          <w:tab w:val="left" w:pos="720"/>
        </w:tabs>
        <w:spacing w:line="360" w:lineRule="auto"/>
        <w:rPr>
          <w:b/>
          <w:bCs/>
          <w:sz w:val="28"/>
          <w:u w:val="single"/>
        </w:rPr>
      </w:pPr>
    </w:p>
    <w:p w:rsidR="00FC2F6C" w:rsidRDefault="00FC2F6C">
      <w:pPr>
        <w:tabs>
          <w:tab w:val="left" w:pos="720"/>
        </w:tabs>
        <w:spacing w:line="360" w:lineRule="auto"/>
        <w:rPr>
          <w:b/>
          <w:bCs/>
          <w:sz w:val="28"/>
          <w:u w:val="single"/>
        </w:rPr>
      </w:pPr>
      <w:r w:rsidRPr="001E6A59">
        <w:rPr>
          <w:b/>
          <w:bCs/>
          <w:sz w:val="28"/>
          <w:u w:val="single"/>
        </w:rPr>
        <w:t>Community Interviews</w:t>
      </w:r>
    </w:p>
    <w:p w:rsidR="001E6A59" w:rsidRDefault="001E6A59">
      <w:pPr>
        <w:tabs>
          <w:tab w:val="left" w:pos="720"/>
        </w:tabs>
        <w:spacing w:line="360" w:lineRule="auto"/>
        <w:rPr>
          <w:b/>
          <w:bCs/>
          <w:sz w:val="28"/>
          <w:u w:val="single"/>
        </w:rPr>
      </w:pPr>
    </w:p>
    <w:p w:rsidR="001E6A59" w:rsidRDefault="001E6A59" w:rsidP="001E6A59">
      <w:pPr>
        <w:tabs>
          <w:tab w:val="left" w:pos="720"/>
        </w:tabs>
        <w:spacing w:line="360" w:lineRule="auto"/>
        <w:rPr>
          <w:sz w:val="28"/>
        </w:rPr>
      </w:pPr>
      <w:r>
        <w:rPr>
          <w:sz w:val="28"/>
        </w:rPr>
        <w:t xml:space="preserve">Several community representatives were contacted and interviewed. </w:t>
      </w:r>
      <w:r w:rsidR="00F05785">
        <w:rPr>
          <w:sz w:val="28"/>
        </w:rPr>
        <w:t xml:space="preserve"> </w:t>
      </w:r>
      <w:r>
        <w:rPr>
          <w:sz w:val="28"/>
        </w:rPr>
        <w:t xml:space="preserve">The individuals were representatives of the elderly and persons with disabilities community and the Hispanic community in the Transfort service area.  The community representatives indicated that Transfort had held meetings in their communities to provide information about services changes, construction projects, and the Mason Corridor Project.  One of the community representatives did not feel that Transfort had given adequate considerations to concerns expressed by members of their community regarding the impact of Transfort’s </w:t>
      </w:r>
      <w:r>
        <w:rPr>
          <w:sz w:val="28"/>
        </w:rPr>
        <w:lastRenderedPageBreak/>
        <w:t xml:space="preserve">service changes.  The perception was that complaints made about Transfort’s Dial-A-Ride service were not given any merit.  Furthermore, the process for investigating complaints was insufficient and lacked impartiality by individuals investigating the complaints.  The Mason Corridor Project was positively received </w:t>
      </w:r>
      <w:r w:rsidR="00F05785">
        <w:rPr>
          <w:sz w:val="28"/>
        </w:rPr>
        <w:t>by</w:t>
      </w:r>
      <w:r>
        <w:rPr>
          <w:sz w:val="28"/>
        </w:rPr>
        <w:t xml:space="preserve"> all of the community representatives.  According to the community representatives, Transfort also provided adequate notice of the fare change.</w:t>
      </w:r>
    </w:p>
    <w:p w:rsidR="001E6A59" w:rsidRDefault="001E6A59" w:rsidP="001E6A59">
      <w:pPr>
        <w:tabs>
          <w:tab w:val="left" w:pos="720"/>
        </w:tabs>
        <w:spacing w:line="360" w:lineRule="auto"/>
        <w:rPr>
          <w:sz w:val="28"/>
        </w:rPr>
      </w:pPr>
    </w:p>
    <w:p w:rsidR="001E6A59" w:rsidRDefault="001E6A59" w:rsidP="001E6A59">
      <w:pPr>
        <w:tabs>
          <w:tab w:val="left" w:pos="720"/>
        </w:tabs>
        <w:spacing w:line="360" w:lineRule="auto"/>
        <w:rPr>
          <w:sz w:val="28"/>
        </w:rPr>
      </w:pPr>
      <w:r>
        <w:rPr>
          <w:sz w:val="28"/>
        </w:rPr>
        <w:t>The community representatives believed that the bus service, amenities, and the maintenance of buses in the minority communities were comparable to that provided to the non-minority communities.</w:t>
      </w:r>
    </w:p>
    <w:p w:rsidR="001E6A59" w:rsidRDefault="001E6A59">
      <w:pPr>
        <w:tabs>
          <w:tab w:val="left" w:pos="720"/>
        </w:tabs>
        <w:spacing w:line="360" w:lineRule="auto"/>
        <w:rPr>
          <w:b/>
          <w:bCs/>
          <w:sz w:val="28"/>
          <w:u w:val="single"/>
        </w:rPr>
      </w:pPr>
    </w:p>
    <w:p w:rsidR="00FC2F6C" w:rsidRDefault="00FC2F6C">
      <w:pPr>
        <w:spacing w:line="360" w:lineRule="auto"/>
        <w:rPr>
          <w:b/>
          <w:bCs/>
          <w:sz w:val="28"/>
          <w:szCs w:val="28"/>
          <w:highlight w:val="yellow"/>
          <w:u w:val="single"/>
        </w:rPr>
      </w:pPr>
      <w:r>
        <w:rPr>
          <w:b/>
          <w:bCs/>
          <w:sz w:val="28"/>
          <w:szCs w:val="28"/>
          <w:u w:val="single"/>
        </w:rPr>
        <w:t>Site Visit Observations</w:t>
      </w:r>
    </w:p>
    <w:p w:rsidR="00FC2F6C" w:rsidRDefault="00FC2F6C">
      <w:pPr>
        <w:spacing w:line="360" w:lineRule="auto"/>
        <w:rPr>
          <w:sz w:val="28"/>
          <w:szCs w:val="28"/>
          <w:highlight w:val="yellow"/>
        </w:rPr>
      </w:pPr>
    </w:p>
    <w:p w:rsidR="00FC2F6C" w:rsidRDefault="00FC2F6C">
      <w:pPr>
        <w:spacing w:line="360" w:lineRule="auto"/>
        <w:rPr>
          <w:sz w:val="28"/>
          <w:szCs w:val="28"/>
        </w:rPr>
      </w:pPr>
      <w:r>
        <w:rPr>
          <w:sz w:val="28"/>
          <w:szCs w:val="28"/>
        </w:rPr>
        <w:t xml:space="preserve">A tour was made of three existing Transfort transit facilities, including the Colorado State University Transit Center, the Downtown Transit Center, and the Southside Transit Center.  A tour was also made of the Mason Corridor/Mason Express (MAX) BRT Project alignment. </w:t>
      </w:r>
      <w:r w:rsidR="00C437B4">
        <w:rPr>
          <w:sz w:val="28"/>
          <w:szCs w:val="28"/>
        </w:rPr>
        <w:t xml:space="preserve"> </w:t>
      </w:r>
      <w:r>
        <w:rPr>
          <w:sz w:val="28"/>
          <w:szCs w:val="28"/>
        </w:rPr>
        <w:t>Comparable Transfort bus routes serving minority, non-minority, non-low income and low-income communities were toured, including:</w:t>
      </w:r>
    </w:p>
    <w:p w:rsidR="00FC2F6C" w:rsidRDefault="00FC2F6C">
      <w:pPr>
        <w:spacing w:line="360" w:lineRule="auto"/>
        <w:rPr>
          <w:sz w:val="28"/>
          <w:szCs w:val="28"/>
        </w:rPr>
      </w:pPr>
    </w:p>
    <w:p w:rsidR="00FC2F6C" w:rsidRDefault="00FC2F6C" w:rsidP="00FC2F6C">
      <w:pPr>
        <w:numPr>
          <w:ilvl w:val="0"/>
          <w:numId w:val="13"/>
        </w:numPr>
        <w:rPr>
          <w:sz w:val="28"/>
          <w:szCs w:val="28"/>
        </w:rPr>
      </w:pPr>
      <w:r>
        <w:rPr>
          <w:sz w:val="28"/>
          <w:szCs w:val="28"/>
        </w:rPr>
        <w:t>Route 2</w:t>
      </w:r>
    </w:p>
    <w:p w:rsidR="00FC2F6C" w:rsidRDefault="00FC2F6C" w:rsidP="00FC2F6C">
      <w:pPr>
        <w:numPr>
          <w:ilvl w:val="0"/>
          <w:numId w:val="13"/>
        </w:numPr>
        <w:rPr>
          <w:sz w:val="28"/>
          <w:szCs w:val="28"/>
        </w:rPr>
      </w:pPr>
      <w:r>
        <w:rPr>
          <w:sz w:val="28"/>
          <w:szCs w:val="28"/>
        </w:rPr>
        <w:t>Route 3</w:t>
      </w:r>
    </w:p>
    <w:p w:rsidR="00FC2F6C" w:rsidRDefault="00FC2F6C" w:rsidP="00FC2F6C">
      <w:pPr>
        <w:numPr>
          <w:ilvl w:val="0"/>
          <w:numId w:val="13"/>
        </w:numPr>
        <w:rPr>
          <w:sz w:val="28"/>
          <w:szCs w:val="28"/>
        </w:rPr>
      </w:pPr>
      <w:r>
        <w:rPr>
          <w:sz w:val="28"/>
          <w:szCs w:val="28"/>
        </w:rPr>
        <w:t>Route 8</w:t>
      </w:r>
    </w:p>
    <w:p w:rsidR="00FC2F6C" w:rsidRDefault="00FC2F6C" w:rsidP="00FC2F6C">
      <w:pPr>
        <w:numPr>
          <w:ilvl w:val="0"/>
          <w:numId w:val="13"/>
        </w:numPr>
        <w:rPr>
          <w:sz w:val="28"/>
          <w:szCs w:val="28"/>
        </w:rPr>
      </w:pPr>
      <w:r>
        <w:rPr>
          <w:sz w:val="28"/>
          <w:szCs w:val="28"/>
        </w:rPr>
        <w:t>Route 9</w:t>
      </w:r>
    </w:p>
    <w:p w:rsidR="00FC2F6C" w:rsidRDefault="00FC2F6C">
      <w:pPr>
        <w:spacing w:line="360" w:lineRule="auto"/>
        <w:rPr>
          <w:sz w:val="28"/>
          <w:szCs w:val="28"/>
          <w:highlight w:val="yellow"/>
        </w:rPr>
      </w:pPr>
    </w:p>
    <w:p w:rsidR="00FC2F6C" w:rsidRDefault="00FC2F6C">
      <w:pPr>
        <w:spacing w:line="360" w:lineRule="auto"/>
        <w:rPr>
          <w:sz w:val="28"/>
          <w:szCs w:val="28"/>
        </w:rPr>
      </w:pPr>
      <w:r>
        <w:rPr>
          <w:sz w:val="28"/>
          <w:szCs w:val="28"/>
        </w:rPr>
        <w:t xml:space="preserve">During the tour of the routes, observations were recorded regarding the equipment assigned to the routes, the passenger loads, and the amenities along </w:t>
      </w:r>
      <w:r>
        <w:rPr>
          <w:sz w:val="28"/>
          <w:szCs w:val="28"/>
        </w:rPr>
        <w:lastRenderedPageBreak/>
        <w:t>the routes, such as benches, shelters, and trash cans.  It was noted that ridership and amenities along the minority routes was comparable to that found along the non-minority routes, with the exception of Route 9, designated as a minority route.  A</w:t>
      </w:r>
      <w:r w:rsidR="00C437B4">
        <w:rPr>
          <w:sz w:val="28"/>
          <w:szCs w:val="28"/>
        </w:rPr>
        <w:t>s shown below, the amenities along Route 9 are significantly fewer than along the comparable Route 9.</w:t>
      </w:r>
    </w:p>
    <w:p w:rsidR="00C437B4" w:rsidRDefault="00C437B4">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60"/>
        <w:gridCol w:w="1861"/>
        <w:gridCol w:w="1861"/>
        <w:gridCol w:w="1862"/>
        <w:gridCol w:w="1862"/>
      </w:tblGrid>
      <w:tr w:rsidR="00FC2F6C" w:rsidTr="00C437B4">
        <w:tc>
          <w:tcPr>
            <w:tcW w:w="1860" w:type="dxa"/>
            <w:vAlign w:val="bottom"/>
          </w:tcPr>
          <w:p w:rsidR="00FC2F6C" w:rsidRPr="00C437B4" w:rsidRDefault="00C437B4" w:rsidP="00C437B4">
            <w:pPr>
              <w:spacing w:line="360" w:lineRule="auto"/>
              <w:jc w:val="center"/>
              <w:rPr>
                <w:b/>
                <w:sz w:val="28"/>
                <w:szCs w:val="28"/>
              </w:rPr>
            </w:pPr>
            <w:r w:rsidRPr="00C437B4">
              <w:rPr>
                <w:b/>
                <w:sz w:val="28"/>
                <w:szCs w:val="28"/>
              </w:rPr>
              <w:t>Amenities</w:t>
            </w:r>
          </w:p>
        </w:tc>
        <w:tc>
          <w:tcPr>
            <w:tcW w:w="1861" w:type="dxa"/>
          </w:tcPr>
          <w:p w:rsidR="00FC2F6C" w:rsidRPr="00C437B4" w:rsidRDefault="00FC2F6C" w:rsidP="00C437B4">
            <w:pPr>
              <w:jc w:val="center"/>
              <w:rPr>
                <w:b/>
                <w:sz w:val="28"/>
                <w:szCs w:val="28"/>
              </w:rPr>
            </w:pPr>
            <w:r w:rsidRPr="00C437B4">
              <w:rPr>
                <w:b/>
                <w:sz w:val="28"/>
                <w:szCs w:val="28"/>
              </w:rPr>
              <w:t>Route 2</w:t>
            </w:r>
          </w:p>
          <w:p w:rsidR="00FC2F6C" w:rsidRPr="00C437B4" w:rsidRDefault="00FC2F6C" w:rsidP="00C437B4">
            <w:pPr>
              <w:jc w:val="center"/>
              <w:rPr>
                <w:b/>
                <w:sz w:val="28"/>
                <w:szCs w:val="28"/>
              </w:rPr>
            </w:pPr>
            <w:r w:rsidRPr="00C437B4">
              <w:rPr>
                <w:b/>
                <w:sz w:val="28"/>
                <w:szCs w:val="28"/>
              </w:rPr>
              <w:t>(Non-Min)</w:t>
            </w:r>
          </w:p>
        </w:tc>
        <w:tc>
          <w:tcPr>
            <w:tcW w:w="1861" w:type="dxa"/>
            <w:tcBorders>
              <w:right w:val="double" w:sz="4" w:space="0" w:color="auto"/>
            </w:tcBorders>
          </w:tcPr>
          <w:p w:rsidR="00FC2F6C" w:rsidRPr="00C437B4" w:rsidRDefault="00FC2F6C" w:rsidP="00C437B4">
            <w:pPr>
              <w:jc w:val="center"/>
              <w:rPr>
                <w:b/>
                <w:sz w:val="28"/>
                <w:szCs w:val="28"/>
              </w:rPr>
            </w:pPr>
            <w:r w:rsidRPr="00C437B4">
              <w:rPr>
                <w:b/>
                <w:sz w:val="28"/>
                <w:szCs w:val="28"/>
              </w:rPr>
              <w:t>Route 3</w:t>
            </w:r>
          </w:p>
          <w:p w:rsidR="00FC2F6C" w:rsidRPr="00C437B4" w:rsidRDefault="00FC2F6C" w:rsidP="00C437B4">
            <w:pPr>
              <w:jc w:val="center"/>
              <w:rPr>
                <w:b/>
                <w:sz w:val="28"/>
                <w:szCs w:val="28"/>
              </w:rPr>
            </w:pPr>
            <w:r w:rsidRPr="00C437B4">
              <w:rPr>
                <w:b/>
                <w:sz w:val="28"/>
                <w:szCs w:val="28"/>
              </w:rPr>
              <w:t>(Non-Min)</w:t>
            </w:r>
          </w:p>
        </w:tc>
        <w:tc>
          <w:tcPr>
            <w:tcW w:w="1862" w:type="dxa"/>
            <w:tcBorders>
              <w:left w:val="double" w:sz="4" w:space="0" w:color="auto"/>
            </w:tcBorders>
          </w:tcPr>
          <w:p w:rsidR="00FC2F6C" w:rsidRPr="00C437B4" w:rsidRDefault="00FC2F6C" w:rsidP="00C437B4">
            <w:pPr>
              <w:jc w:val="center"/>
              <w:rPr>
                <w:b/>
                <w:sz w:val="28"/>
                <w:szCs w:val="28"/>
              </w:rPr>
            </w:pPr>
            <w:r w:rsidRPr="00C437B4">
              <w:rPr>
                <w:b/>
                <w:sz w:val="28"/>
                <w:szCs w:val="28"/>
              </w:rPr>
              <w:t>Route 8</w:t>
            </w:r>
          </w:p>
          <w:p w:rsidR="00FC2F6C" w:rsidRPr="00C437B4" w:rsidRDefault="00FC2F6C" w:rsidP="00C437B4">
            <w:pPr>
              <w:jc w:val="center"/>
              <w:rPr>
                <w:b/>
                <w:sz w:val="28"/>
                <w:szCs w:val="28"/>
              </w:rPr>
            </w:pPr>
            <w:r w:rsidRPr="00C437B4">
              <w:rPr>
                <w:b/>
                <w:sz w:val="28"/>
                <w:szCs w:val="28"/>
              </w:rPr>
              <w:t>(Min)</w:t>
            </w:r>
          </w:p>
        </w:tc>
        <w:tc>
          <w:tcPr>
            <w:tcW w:w="1862" w:type="dxa"/>
          </w:tcPr>
          <w:p w:rsidR="00FC2F6C" w:rsidRPr="00C437B4" w:rsidRDefault="00FC2F6C" w:rsidP="00C437B4">
            <w:pPr>
              <w:jc w:val="center"/>
              <w:rPr>
                <w:b/>
                <w:sz w:val="28"/>
                <w:szCs w:val="28"/>
              </w:rPr>
            </w:pPr>
            <w:r w:rsidRPr="00C437B4">
              <w:rPr>
                <w:b/>
                <w:sz w:val="28"/>
                <w:szCs w:val="28"/>
              </w:rPr>
              <w:t>Route 9</w:t>
            </w:r>
          </w:p>
          <w:p w:rsidR="00FC2F6C" w:rsidRPr="00C437B4" w:rsidRDefault="00FC2F6C" w:rsidP="00C437B4">
            <w:pPr>
              <w:jc w:val="center"/>
              <w:rPr>
                <w:b/>
                <w:sz w:val="28"/>
                <w:szCs w:val="28"/>
              </w:rPr>
            </w:pPr>
            <w:r w:rsidRPr="00C437B4">
              <w:rPr>
                <w:b/>
                <w:sz w:val="28"/>
                <w:szCs w:val="28"/>
              </w:rPr>
              <w:t>(Min)</w:t>
            </w:r>
          </w:p>
        </w:tc>
      </w:tr>
      <w:tr w:rsidR="00FC2F6C" w:rsidTr="00C437B4">
        <w:tc>
          <w:tcPr>
            <w:tcW w:w="1860" w:type="dxa"/>
          </w:tcPr>
          <w:p w:rsidR="00FC2F6C" w:rsidRDefault="00FC2F6C">
            <w:pPr>
              <w:spacing w:line="360" w:lineRule="auto"/>
              <w:rPr>
                <w:sz w:val="28"/>
                <w:szCs w:val="28"/>
              </w:rPr>
            </w:pPr>
            <w:r>
              <w:rPr>
                <w:sz w:val="28"/>
                <w:szCs w:val="28"/>
              </w:rPr>
              <w:t>Bench</w:t>
            </w:r>
          </w:p>
        </w:tc>
        <w:tc>
          <w:tcPr>
            <w:tcW w:w="1861" w:type="dxa"/>
          </w:tcPr>
          <w:p w:rsidR="00FC2F6C" w:rsidRDefault="00FC2F6C">
            <w:pPr>
              <w:spacing w:line="360" w:lineRule="auto"/>
              <w:jc w:val="center"/>
              <w:rPr>
                <w:sz w:val="28"/>
                <w:szCs w:val="28"/>
              </w:rPr>
            </w:pPr>
            <w:r>
              <w:rPr>
                <w:sz w:val="28"/>
                <w:szCs w:val="28"/>
              </w:rPr>
              <w:t>19</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17</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18</w:t>
            </w:r>
          </w:p>
        </w:tc>
        <w:tc>
          <w:tcPr>
            <w:tcW w:w="1862" w:type="dxa"/>
          </w:tcPr>
          <w:p w:rsidR="00FC2F6C" w:rsidRDefault="00FC2F6C">
            <w:pPr>
              <w:spacing w:line="360" w:lineRule="auto"/>
              <w:jc w:val="center"/>
              <w:rPr>
                <w:sz w:val="28"/>
                <w:szCs w:val="28"/>
              </w:rPr>
            </w:pPr>
            <w:r>
              <w:rPr>
                <w:sz w:val="28"/>
                <w:szCs w:val="28"/>
              </w:rPr>
              <w:t>6</w:t>
            </w:r>
          </w:p>
        </w:tc>
      </w:tr>
      <w:tr w:rsidR="00FC2F6C" w:rsidTr="00C437B4">
        <w:tc>
          <w:tcPr>
            <w:tcW w:w="1860" w:type="dxa"/>
          </w:tcPr>
          <w:p w:rsidR="00FC2F6C" w:rsidRDefault="00FC2F6C">
            <w:pPr>
              <w:spacing w:line="360" w:lineRule="auto"/>
              <w:rPr>
                <w:sz w:val="28"/>
                <w:szCs w:val="28"/>
              </w:rPr>
            </w:pPr>
            <w:r>
              <w:rPr>
                <w:sz w:val="28"/>
                <w:szCs w:val="28"/>
              </w:rPr>
              <w:t>Shelter</w:t>
            </w:r>
          </w:p>
        </w:tc>
        <w:tc>
          <w:tcPr>
            <w:tcW w:w="1861" w:type="dxa"/>
          </w:tcPr>
          <w:p w:rsidR="00FC2F6C" w:rsidRDefault="00FC2F6C">
            <w:pPr>
              <w:spacing w:line="360" w:lineRule="auto"/>
              <w:jc w:val="center"/>
              <w:rPr>
                <w:sz w:val="28"/>
                <w:szCs w:val="28"/>
              </w:rPr>
            </w:pPr>
            <w:r>
              <w:rPr>
                <w:sz w:val="28"/>
                <w:szCs w:val="28"/>
              </w:rPr>
              <w:t>3</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9</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5</w:t>
            </w:r>
          </w:p>
        </w:tc>
        <w:tc>
          <w:tcPr>
            <w:tcW w:w="1862" w:type="dxa"/>
          </w:tcPr>
          <w:p w:rsidR="00FC2F6C" w:rsidRDefault="00FC2F6C">
            <w:pPr>
              <w:spacing w:line="360" w:lineRule="auto"/>
              <w:jc w:val="center"/>
              <w:rPr>
                <w:sz w:val="28"/>
                <w:szCs w:val="28"/>
              </w:rPr>
            </w:pPr>
            <w:r>
              <w:rPr>
                <w:sz w:val="28"/>
                <w:szCs w:val="28"/>
              </w:rPr>
              <w:t>3</w:t>
            </w:r>
          </w:p>
        </w:tc>
      </w:tr>
      <w:tr w:rsidR="00FC2F6C" w:rsidTr="00C437B4">
        <w:tc>
          <w:tcPr>
            <w:tcW w:w="1860" w:type="dxa"/>
          </w:tcPr>
          <w:p w:rsidR="00FC2F6C" w:rsidRDefault="00FC2F6C">
            <w:pPr>
              <w:spacing w:line="360" w:lineRule="auto"/>
              <w:rPr>
                <w:sz w:val="28"/>
                <w:szCs w:val="28"/>
              </w:rPr>
            </w:pPr>
            <w:r>
              <w:rPr>
                <w:sz w:val="28"/>
                <w:szCs w:val="28"/>
              </w:rPr>
              <w:t>Trash Can</w:t>
            </w:r>
          </w:p>
        </w:tc>
        <w:tc>
          <w:tcPr>
            <w:tcW w:w="1861" w:type="dxa"/>
          </w:tcPr>
          <w:p w:rsidR="00FC2F6C" w:rsidRDefault="00FC2F6C">
            <w:pPr>
              <w:spacing w:line="360" w:lineRule="auto"/>
              <w:jc w:val="center"/>
              <w:rPr>
                <w:sz w:val="28"/>
                <w:szCs w:val="28"/>
              </w:rPr>
            </w:pPr>
            <w:r>
              <w:rPr>
                <w:sz w:val="28"/>
                <w:szCs w:val="28"/>
              </w:rPr>
              <w:t>6</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7</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10</w:t>
            </w:r>
          </w:p>
        </w:tc>
        <w:tc>
          <w:tcPr>
            <w:tcW w:w="1862" w:type="dxa"/>
          </w:tcPr>
          <w:p w:rsidR="00FC2F6C" w:rsidRDefault="00FC2F6C">
            <w:pPr>
              <w:spacing w:line="360" w:lineRule="auto"/>
              <w:jc w:val="center"/>
              <w:rPr>
                <w:sz w:val="28"/>
                <w:szCs w:val="28"/>
              </w:rPr>
            </w:pPr>
            <w:r>
              <w:rPr>
                <w:sz w:val="28"/>
                <w:szCs w:val="28"/>
              </w:rPr>
              <w:t>3</w:t>
            </w:r>
          </w:p>
        </w:tc>
      </w:tr>
      <w:tr w:rsidR="00FC2F6C" w:rsidTr="00C437B4">
        <w:tc>
          <w:tcPr>
            <w:tcW w:w="1860" w:type="dxa"/>
          </w:tcPr>
          <w:p w:rsidR="00FC2F6C" w:rsidRDefault="00FC2F6C">
            <w:pPr>
              <w:spacing w:line="360" w:lineRule="auto"/>
              <w:rPr>
                <w:sz w:val="28"/>
                <w:szCs w:val="28"/>
              </w:rPr>
            </w:pPr>
            <w:r>
              <w:rPr>
                <w:sz w:val="28"/>
                <w:szCs w:val="28"/>
              </w:rPr>
              <w:t>Light</w:t>
            </w:r>
          </w:p>
        </w:tc>
        <w:tc>
          <w:tcPr>
            <w:tcW w:w="1861" w:type="dxa"/>
          </w:tcPr>
          <w:p w:rsidR="00FC2F6C" w:rsidRDefault="00FC2F6C">
            <w:pPr>
              <w:spacing w:line="360" w:lineRule="auto"/>
              <w:jc w:val="center"/>
              <w:rPr>
                <w:sz w:val="28"/>
                <w:szCs w:val="28"/>
              </w:rPr>
            </w:pPr>
            <w:r>
              <w:rPr>
                <w:sz w:val="28"/>
                <w:szCs w:val="28"/>
              </w:rPr>
              <w:t>0</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2</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6</w:t>
            </w:r>
          </w:p>
        </w:tc>
        <w:tc>
          <w:tcPr>
            <w:tcW w:w="1862" w:type="dxa"/>
          </w:tcPr>
          <w:p w:rsidR="00FC2F6C" w:rsidRDefault="00FC2F6C">
            <w:pPr>
              <w:spacing w:line="360" w:lineRule="auto"/>
              <w:jc w:val="center"/>
              <w:rPr>
                <w:sz w:val="28"/>
                <w:szCs w:val="28"/>
              </w:rPr>
            </w:pPr>
            <w:r>
              <w:rPr>
                <w:sz w:val="28"/>
                <w:szCs w:val="28"/>
              </w:rPr>
              <w:t>2</w:t>
            </w:r>
          </w:p>
        </w:tc>
      </w:tr>
      <w:tr w:rsidR="00FC2F6C" w:rsidTr="00C437B4">
        <w:tc>
          <w:tcPr>
            <w:tcW w:w="1860" w:type="dxa"/>
          </w:tcPr>
          <w:p w:rsidR="00FC2F6C" w:rsidRDefault="00FC2F6C">
            <w:pPr>
              <w:spacing w:line="360" w:lineRule="auto"/>
              <w:rPr>
                <w:sz w:val="28"/>
                <w:szCs w:val="28"/>
              </w:rPr>
            </w:pPr>
            <w:r>
              <w:rPr>
                <w:sz w:val="28"/>
                <w:szCs w:val="28"/>
              </w:rPr>
              <w:t>Schedule</w:t>
            </w:r>
          </w:p>
        </w:tc>
        <w:tc>
          <w:tcPr>
            <w:tcW w:w="1861" w:type="dxa"/>
          </w:tcPr>
          <w:p w:rsidR="00FC2F6C" w:rsidRDefault="00FC2F6C">
            <w:pPr>
              <w:spacing w:line="360" w:lineRule="auto"/>
              <w:jc w:val="center"/>
              <w:rPr>
                <w:sz w:val="28"/>
                <w:szCs w:val="28"/>
              </w:rPr>
            </w:pPr>
            <w:r>
              <w:rPr>
                <w:sz w:val="28"/>
                <w:szCs w:val="28"/>
              </w:rPr>
              <w:t>2</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17</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5</w:t>
            </w:r>
          </w:p>
        </w:tc>
        <w:tc>
          <w:tcPr>
            <w:tcW w:w="1862" w:type="dxa"/>
          </w:tcPr>
          <w:p w:rsidR="00FC2F6C" w:rsidRDefault="00FC2F6C">
            <w:pPr>
              <w:spacing w:line="360" w:lineRule="auto"/>
              <w:jc w:val="center"/>
              <w:rPr>
                <w:sz w:val="28"/>
                <w:szCs w:val="28"/>
              </w:rPr>
            </w:pPr>
            <w:r>
              <w:rPr>
                <w:sz w:val="28"/>
                <w:szCs w:val="28"/>
              </w:rPr>
              <w:t>0</w:t>
            </w:r>
          </w:p>
        </w:tc>
      </w:tr>
      <w:tr w:rsidR="00FC2F6C" w:rsidTr="00C437B4">
        <w:tc>
          <w:tcPr>
            <w:tcW w:w="1860" w:type="dxa"/>
          </w:tcPr>
          <w:p w:rsidR="00FC2F6C" w:rsidRDefault="00FC2F6C">
            <w:pPr>
              <w:spacing w:line="360" w:lineRule="auto"/>
              <w:rPr>
                <w:sz w:val="28"/>
                <w:szCs w:val="28"/>
              </w:rPr>
            </w:pPr>
            <w:r>
              <w:rPr>
                <w:sz w:val="28"/>
                <w:szCs w:val="28"/>
              </w:rPr>
              <w:t>Bike Rack</w:t>
            </w:r>
          </w:p>
        </w:tc>
        <w:tc>
          <w:tcPr>
            <w:tcW w:w="1861" w:type="dxa"/>
          </w:tcPr>
          <w:p w:rsidR="00FC2F6C" w:rsidRDefault="00FC2F6C">
            <w:pPr>
              <w:spacing w:line="360" w:lineRule="auto"/>
              <w:jc w:val="center"/>
              <w:rPr>
                <w:sz w:val="28"/>
                <w:szCs w:val="28"/>
              </w:rPr>
            </w:pPr>
            <w:r>
              <w:rPr>
                <w:sz w:val="28"/>
                <w:szCs w:val="28"/>
              </w:rPr>
              <w:t>2</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5</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2</w:t>
            </w:r>
          </w:p>
        </w:tc>
        <w:tc>
          <w:tcPr>
            <w:tcW w:w="1862" w:type="dxa"/>
          </w:tcPr>
          <w:p w:rsidR="00FC2F6C" w:rsidRDefault="00FC2F6C">
            <w:pPr>
              <w:spacing w:line="360" w:lineRule="auto"/>
              <w:jc w:val="center"/>
              <w:rPr>
                <w:sz w:val="28"/>
                <w:szCs w:val="28"/>
              </w:rPr>
            </w:pPr>
            <w:r>
              <w:rPr>
                <w:sz w:val="28"/>
                <w:szCs w:val="28"/>
              </w:rPr>
              <w:t>0</w:t>
            </w:r>
          </w:p>
        </w:tc>
      </w:tr>
      <w:tr w:rsidR="00FC2F6C" w:rsidTr="00C437B4">
        <w:tc>
          <w:tcPr>
            <w:tcW w:w="1860" w:type="dxa"/>
          </w:tcPr>
          <w:p w:rsidR="00FC2F6C" w:rsidRDefault="00FC2F6C">
            <w:pPr>
              <w:spacing w:line="360" w:lineRule="auto"/>
              <w:rPr>
                <w:sz w:val="28"/>
                <w:szCs w:val="28"/>
              </w:rPr>
            </w:pPr>
            <w:r>
              <w:rPr>
                <w:sz w:val="28"/>
                <w:szCs w:val="28"/>
              </w:rPr>
              <w:t>News Stand</w:t>
            </w:r>
          </w:p>
        </w:tc>
        <w:tc>
          <w:tcPr>
            <w:tcW w:w="1861" w:type="dxa"/>
          </w:tcPr>
          <w:p w:rsidR="00FC2F6C" w:rsidRDefault="00FC2F6C">
            <w:pPr>
              <w:spacing w:line="360" w:lineRule="auto"/>
              <w:jc w:val="center"/>
              <w:rPr>
                <w:sz w:val="28"/>
                <w:szCs w:val="28"/>
              </w:rPr>
            </w:pPr>
            <w:r>
              <w:rPr>
                <w:sz w:val="28"/>
                <w:szCs w:val="28"/>
              </w:rPr>
              <w:t>1</w:t>
            </w:r>
          </w:p>
        </w:tc>
        <w:tc>
          <w:tcPr>
            <w:tcW w:w="1861" w:type="dxa"/>
            <w:tcBorders>
              <w:right w:val="double" w:sz="4" w:space="0" w:color="auto"/>
            </w:tcBorders>
          </w:tcPr>
          <w:p w:rsidR="00FC2F6C" w:rsidRDefault="00FC2F6C">
            <w:pPr>
              <w:spacing w:line="360" w:lineRule="auto"/>
              <w:jc w:val="center"/>
              <w:rPr>
                <w:sz w:val="28"/>
                <w:szCs w:val="28"/>
              </w:rPr>
            </w:pPr>
            <w:r>
              <w:rPr>
                <w:sz w:val="28"/>
                <w:szCs w:val="28"/>
              </w:rPr>
              <w:t>0</w:t>
            </w:r>
          </w:p>
        </w:tc>
        <w:tc>
          <w:tcPr>
            <w:tcW w:w="1862" w:type="dxa"/>
            <w:tcBorders>
              <w:left w:val="double" w:sz="4" w:space="0" w:color="auto"/>
            </w:tcBorders>
          </w:tcPr>
          <w:p w:rsidR="00FC2F6C" w:rsidRDefault="00FC2F6C">
            <w:pPr>
              <w:spacing w:line="360" w:lineRule="auto"/>
              <w:jc w:val="center"/>
              <w:rPr>
                <w:sz w:val="28"/>
                <w:szCs w:val="28"/>
              </w:rPr>
            </w:pPr>
            <w:r>
              <w:rPr>
                <w:sz w:val="28"/>
                <w:szCs w:val="28"/>
              </w:rPr>
              <w:t>0</w:t>
            </w:r>
          </w:p>
        </w:tc>
        <w:tc>
          <w:tcPr>
            <w:tcW w:w="1862" w:type="dxa"/>
          </w:tcPr>
          <w:p w:rsidR="00FC2F6C" w:rsidRDefault="00FC2F6C">
            <w:pPr>
              <w:spacing w:line="360" w:lineRule="auto"/>
              <w:jc w:val="center"/>
              <w:rPr>
                <w:sz w:val="28"/>
                <w:szCs w:val="28"/>
              </w:rPr>
            </w:pPr>
            <w:r>
              <w:rPr>
                <w:sz w:val="28"/>
                <w:szCs w:val="28"/>
              </w:rPr>
              <w:t>0</w:t>
            </w:r>
          </w:p>
        </w:tc>
      </w:tr>
    </w:tbl>
    <w:p w:rsidR="00FC2F6C" w:rsidRDefault="00FC2F6C">
      <w:pPr>
        <w:spacing w:line="360" w:lineRule="auto"/>
        <w:rPr>
          <w:sz w:val="28"/>
          <w:szCs w:val="28"/>
        </w:rPr>
      </w:pPr>
    </w:p>
    <w:p w:rsidR="00FC2F6C" w:rsidRDefault="00FC2F6C">
      <w:pPr>
        <w:spacing w:line="360" w:lineRule="auto"/>
        <w:rPr>
          <w:sz w:val="28"/>
          <w:szCs w:val="28"/>
        </w:rPr>
      </w:pPr>
    </w:p>
    <w:p w:rsidR="00FC2F6C" w:rsidRDefault="00FC2F6C">
      <w:pPr>
        <w:spacing w:line="360" w:lineRule="auto"/>
      </w:pPr>
      <w:bookmarkStart w:id="11" w:name="_Toc106790242"/>
      <w:bookmarkStart w:id="12" w:name="_Toc201633541"/>
      <w:r>
        <w:br w:type="page"/>
      </w:r>
      <w:r>
        <w:rPr>
          <w:b/>
          <w:caps/>
          <w:sz w:val="28"/>
        </w:rPr>
        <w:lastRenderedPageBreak/>
        <w:t xml:space="preserve">VI. </w:t>
      </w:r>
      <w:r>
        <w:rPr>
          <w:b/>
          <w:caps/>
          <w:sz w:val="28"/>
        </w:rPr>
        <w:tab/>
      </w:r>
      <w:r>
        <w:rPr>
          <w:b/>
          <w:caps/>
          <w:sz w:val="28"/>
          <w:u w:val="single"/>
        </w:rPr>
        <w:t>FINDINGS AND RECOMMENDATIONS</w:t>
      </w:r>
      <w:bookmarkEnd w:id="11"/>
      <w:bookmarkEnd w:id="12"/>
    </w:p>
    <w:p w:rsidR="00FC2F6C" w:rsidRDefault="00FC2F6C">
      <w:pPr>
        <w:spacing w:line="360" w:lineRule="auto"/>
        <w:ind w:firstLine="810"/>
        <w:rPr>
          <w:sz w:val="28"/>
          <w:szCs w:val="28"/>
        </w:rPr>
      </w:pPr>
    </w:p>
    <w:p w:rsidR="002276E8" w:rsidRDefault="00FC2F6C" w:rsidP="002276E8">
      <w:pPr>
        <w:spacing w:line="360" w:lineRule="auto"/>
        <w:rPr>
          <w:sz w:val="28"/>
          <w:szCs w:val="28"/>
        </w:rPr>
      </w:pPr>
      <w:r w:rsidRPr="002276E8">
        <w:rPr>
          <w:sz w:val="28"/>
          <w:szCs w:val="28"/>
        </w:rPr>
        <w:t xml:space="preserve">The Title VI Compliance Review focused on Transfort's compliance with the General Reporting Requirements and the Program-Specific Requirements.  This section describes the requirements and findings at the time of the Compliance Review site visit.  In summary, deficiencies were identified in five of the twelve Title VI requirement areas applicable to Transfort.  </w:t>
      </w:r>
      <w:r w:rsidR="002276E8" w:rsidRPr="002276E8">
        <w:rPr>
          <w:sz w:val="28"/>
          <w:szCs w:val="28"/>
        </w:rPr>
        <w:t xml:space="preserve">Following the issuance of the draft report, Transfort submitted corrective action adequate to close the deficiencies in the areas of:  </w:t>
      </w:r>
      <w:r w:rsidR="002276E8" w:rsidRPr="002276E8">
        <w:rPr>
          <w:i/>
          <w:sz w:val="28"/>
          <w:szCs w:val="28"/>
        </w:rPr>
        <w:t>Language Access to LEP Persons, Environmental Justice Analysis of Construction Projects, and System-wide Service Standards and Policies</w:t>
      </w:r>
      <w:r w:rsidR="002276E8">
        <w:rPr>
          <w:sz w:val="28"/>
          <w:szCs w:val="28"/>
        </w:rPr>
        <w:t>.  Deficiencies remained in the following areas:</w:t>
      </w:r>
    </w:p>
    <w:p w:rsidR="002276E8" w:rsidRPr="002276E8" w:rsidRDefault="002276E8" w:rsidP="002276E8">
      <w:pPr>
        <w:spacing w:line="360" w:lineRule="auto"/>
        <w:rPr>
          <w:sz w:val="28"/>
          <w:szCs w:val="28"/>
        </w:rPr>
      </w:pPr>
    </w:p>
    <w:p w:rsidR="00FC2F6C" w:rsidRPr="002276E8" w:rsidRDefault="00FC2F6C" w:rsidP="00FC2F6C">
      <w:pPr>
        <w:numPr>
          <w:ilvl w:val="0"/>
          <w:numId w:val="11"/>
        </w:numPr>
        <w:spacing w:line="360" w:lineRule="auto"/>
        <w:rPr>
          <w:i/>
          <w:sz w:val="28"/>
          <w:szCs w:val="28"/>
        </w:rPr>
      </w:pPr>
      <w:r w:rsidRPr="002276E8">
        <w:rPr>
          <w:i/>
          <w:sz w:val="28"/>
          <w:szCs w:val="28"/>
        </w:rPr>
        <w:t>Evaluation of Service and Fare Changes</w:t>
      </w:r>
    </w:p>
    <w:p w:rsidR="00FC2F6C" w:rsidRPr="002276E8" w:rsidRDefault="00FC2F6C" w:rsidP="00FC2F6C">
      <w:pPr>
        <w:numPr>
          <w:ilvl w:val="0"/>
          <w:numId w:val="11"/>
        </w:numPr>
        <w:spacing w:line="360" w:lineRule="auto"/>
        <w:rPr>
          <w:i/>
          <w:sz w:val="28"/>
          <w:szCs w:val="28"/>
        </w:rPr>
      </w:pPr>
      <w:r w:rsidRPr="002276E8">
        <w:rPr>
          <w:i/>
          <w:sz w:val="28"/>
          <w:szCs w:val="28"/>
        </w:rPr>
        <w:t>Monitoring Transit Service</w:t>
      </w:r>
    </w:p>
    <w:p w:rsidR="00FC2F6C" w:rsidRDefault="00FC2F6C">
      <w:pPr>
        <w:pStyle w:val="Heading4"/>
        <w:rPr>
          <w:sz w:val="28"/>
          <w:szCs w:val="28"/>
        </w:rPr>
      </w:pPr>
    </w:p>
    <w:p w:rsidR="00FC2F6C" w:rsidRDefault="00FC2F6C">
      <w:pPr>
        <w:pStyle w:val="Heading4"/>
        <w:rPr>
          <w:sz w:val="28"/>
          <w:szCs w:val="28"/>
        </w:rPr>
      </w:pPr>
      <w:r>
        <w:rPr>
          <w:sz w:val="28"/>
          <w:szCs w:val="28"/>
        </w:rPr>
        <w:t>FINDINGS OF THE GENERAL REPORTING REQUIREMENTS</w:t>
      </w:r>
    </w:p>
    <w:p w:rsidR="00FC2F6C" w:rsidRDefault="00FC2F6C"/>
    <w:p w:rsidR="00FC2F6C" w:rsidRDefault="00FC2F6C">
      <w:pPr>
        <w:pStyle w:val="BHLevel2"/>
      </w:pPr>
      <w:bookmarkStart w:id="13" w:name="_Toc201633542"/>
      <w:r>
        <w:t>Inclusive Public Participation</w:t>
      </w:r>
      <w:bookmarkEnd w:id="13"/>
    </w:p>
    <w:p w:rsidR="00FC2F6C" w:rsidRDefault="00FC2F6C">
      <w:pPr>
        <w:pStyle w:val="Outlinea"/>
        <w:tabs>
          <w:tab w:val="clear" w:pos="720"/>
        </w:tabs>
        <w:ind w:left="0" w:firstLine="0"/>
        <w:rPr>
          <w:b/>
          <w:sz w:val="28"/>
          <w:szCs w:val="28"/>
        </w:rPr>
      </w:pPr>
    </w:p>
    <w:p w:rsidR="00FC2F6C" w:rsidRDefault="00FC2F6C">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C2F6C" w:rsidRDefault="00FC2F6C">
      <w:pPr>
        <w:spacing w:line="360" w:lineRule="auto"/>
        <w:rPr>
          <w:sz w:val="28"/>
          <w:szCs w:val="28"/>
        </w:rPr>
      </w:pPr>
    </w:p>
    <w:p w:rsidR="00FC2F6C" w:rsidRDefault="00FC2F6C">
      <w:pPr>
        <w:spacing w:line="360" w:lineRule="auto"/>
        <w:rPr>
          <w:sz w:val="28"/>
          <w:szCs w:val="28"/>
        </w:rPr>
      </w:pPr>
      <w:r>
        <w:rPr>
          <w:b/>
          <w:sz w:val="28"/>
          <w:szCs w:val="28"/>
        </w:rPr>
        <w:t>Findings:</w:t>
      </w:r>
      <w:r>
        <w:rPr>
          <w:sz w:val="28"/>
          <w:szCs w:val="28"/>
        </w:rPr>
        <w:t xml:space="preserve"> During this Title VI Compliance Review of Transfort, no deficiencies were found regarding Transfort’s compliance with FTA guidance for Inclusive </w:t>
      </w:r>
      <w:r>
        <w:rPr>
          <w:sz w:val="28"/>
          <w:szCs w:val="28"/>
        </w:rPr>
        <w:lastRenderedPageBreak/>
        <w:t>Public Participation.  Transfort presented sufficient activities and documentation during the Review to demonstrate that its public participation process satisfied the requirements of the Circular.  Dur</w:t>
      </w:r>
      <w:r w:rsidR="00F05785">
        <w:rPr>
          <w:sz w:val="28"/>
          <w:szCs w:val="28"/>
        </w:rPr>
        <w:t>ing the site visit, the Review t</w:t>
      </w:r>
      <w:r>
        <w:rPr>
          <w:sz w:val="28"/>
          <w:szCs w:val="28"/>
        </w:rPr>
        <w:t xml:space="preserve">eam determined that while Transfort did not survey or hold meetings specifically with minority and low-income communities, numerous meetings were regularly held that encouraged participation from all affected persons throughout the Transfort service area.  Meeting notices in English and Spanish encouraging public participation were posted regularly at transit centers and on transit vehicles, through local newspapers and on Channel 14, a television station dedicated to local political and community coverage.  </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 also coordinated opportunities for public participation with community organizations, including the Dial-A-Ride Transit Advisory Committee (DARTAC), the Public Transit Advocacy Group (PTAG), and Los Ancianos, an organization established to serve Spanish-speaking senior citizens with their needs and their problems.  Los Ancianos advocated for the needs of Spanish speaking and low-income senior citizens throughout Fort Collins and coordinated with existing services to fulfill those needs.</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Finally, Transfort staff strategically held meetings at venues in minority and low-income neighborhoods that were easily accessible via public transportation.  A list of these locations is as follows:</w:t>
      </w:r>
    </w:p>
    <w:p w:rsidR="00FC2F6C" w:rsidRDefault="00FC2F6C">
      <w:pPr>
        <w:spacing w:line="360" w:lineRule="auto"/>
        <w:rPr>
          <w:color w:val="FF0000"/>
          <w:sz w:val="28"/>
          <w:szCs w:val="28"/>
        </w:rPr>
      </w:pP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b/>
          <w:bCs/>
          <w:i/>
          <w:iCs/>
          <w:sz w:val="28"/>
          <w:szCs w:val="22"/>
        </w:rPr>
        <w:br w:type="page"/>
      </w:r>
      <w:r w:rsidR="00D14D97" w:rsidRPr="00D14D97">
        <w:rPr>
          <w:b/>
          <w:bCs/>
          <w:i/>
          <w:iCs/>
          <w:sz w:val="28"/>
          <w:szCs w:val="22"/>
          <w:u w:val="single"/>
        </w:rPr>
        <w:lastRenderedPageBreak/>
        <w:t xml:space="preserve">Public Participation Meeting </w:t>
      </w:r>
      <w:r w:rsidRPr="00D14D97">
        <w:rPr>
          <w:b/>
          <w:bCs/>
          <w:i/>
          <w:iCs/>
          <w:sz w:val="28"/>
          <w:szCs w:val="22"/>
          <w:u w:val="single"/>
        </w:rPr>
        <w:t>Location</w:t>
      </w:r>
      <w:r w:rsidR="00D14D97" w:rsidRPr="00D14D97">
        <w:rPr>
          <w:b/>
          <w:bCs/>
          <w:i/>
          <w:iCs/>
          <w:sz w:val="28"/>
          <w:szCs w:val="22"/>
          <w:u w:val="single"/>
        </w:rPr>
        <w:t>s</w:t>
      </w:r>
      <w:r>
        <w:rPr>
          <w:b/>
          <w:bCs/>
          <w:i/>
          <w:iCs/>
          <w:sz w:val="28"/>
          <w:szCs w:val="22"/>
        </w:rPr>
        <w:tab/>
      </w:r>
      <w:r>
        <w:rPr>
          <w:b/>
          <w:bCs/>
          <w:i/>
          <w:iCs/>
          <w:sz w:val="28"/>
          <w:szCs w:val="22"/>
        </w:rPr>
        <w:tab/>
      </w:r>
      <w:r>
        <w:rPr>
          <w:b/>
          <w:bCs/>
          <w:i/>
          <w:iCs/>
          <w:sz w:val="28"/>
          <w:szCs w:val="22"/>
        </w:rPr>
        <w:tab/>
      </w:r>
      <w:r>
        <w:rPr>
          <w:b/>
          <w:bCs/>
          <w:i/>
          <w:iCs/>
          <w:sz w:val="28"/>
          <w:szCs w:val="22"/>
        </w:rPr>
        <w:tab/>
      </w:r>
      <w:r w:rsidRPr="00D14D97">
        <w:rPr>
          <w:b/>
          <w:bCs/>
          <w:i/>
          <w:iCs/>
          <w:sz w:val="28"/>
          <w:szCs w:val="22"/>
          <w:u w:val="single"/>
        </w:rPr>
        <w:t>Address</w:t>
      </w:r>
      <w:r>
        <w:rPr>
          <w:b/>
          <w:bCs/>
          <w:i/>
          <w:iCs/>
          <w:sz w:val="28"/>
          <w:szCs w:val="22"/>
        </w:rPr>
        <w:t xml:space="preserv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Holy Family Catholic Church</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326 North Whitcomb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Holy Family Catholic Church Recreation Center </w:t>
      </w:r>
      <w:r>
        <w:rPr>
          <w:sz w:val="28"/>
          <w:szCs w:val="22"/>
        </w:rPr>
        <w:tab/>
      </w:r>
      <w:r>
        <w:rPr>
          <w:sz w:val="28"/>
          <w:szCs w:val="22"/>
        </w:rPr>
        <w:tab/>
        <w:t xml:space="preserve">326 North Whitcomb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Mulberry Pool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424 West Mulberry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Pueblo Viejo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185 North College Ave</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El Burrito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400 Linden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EPIC Center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1801 Riverside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North side Azatlan Center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112 East Willow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Las Delicias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1000 North College Ave</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Open Door Mission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316 Jefferson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St Joseph Catholic Church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300 Mountain Avenue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Beavers Market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1100 W Mountain Ave</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Harmony Library Front Range Com College</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Downtown Public Library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201 Peterson Street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2"/>
        </w:rPr>
      </w:pPr>
      <w:r>
        <w:rPr>
          <w:sz w:val="28"/>
          <w:szCs w:val="22"/>
        </w:rPr>
        <w:t xml:space="preserve">CSU Student Center Minority Office </w:t>
      </w:r>
      <w:r>
        <w:rPr>
          <w:sz w:val="28"/>
          <w:szCs w:val="22"/>
        </w:rPr>
        <w:tab/>
      </w:r>
      <w:r>
        <w:rPr>
          <w:sz w:val="28"/>
          <w:szCs w:val="22"/>
        </w:rPr>
        <w:tab/>
      </w:r>
      <w:r>
        <w:rPr>
          <w:sz w:val="28"/>
          <w:szCs w:val="22"/>
        </w:rPr>
        <w:tab/>
      </w:r>
      <w:r>
        <w:rPr>
          <w:sz w:val="28"/>
          <w:szCs w:val="22"/>
        </w:rPr>
        <w:tab/>
        <w:t xml:space="preserve">Lory Student Center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Larimer County Public Health Building </w:t>
      </w:r>
      <w:r>
        <w:rPr>
          <w:sz w:val="28"/>
          <w:szCs w:val="22"/>
        </w:rPr>
        <w:tab/>
      </w:r>
      <w:r>
        <w:rPr>
          <w:sz w:val="28"/>
          <w:szCs w:val="22"/>
        </w:rPr>
        <w:tab/>
      </w:r>
      <w:r>
        <w:rPr>
          <w:sz w:val="28"/>
          <w:szCs w:val="22"/>
        </w:rPr>
        <w:tab/>
        <w:t xml:space="preserve">1501 Blue Spruce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Larimer County Justice Center </w:t>
      </w:r>
      <w:r>
        <w:rPr>
          <w:sz w:val="28"/>
          <w:szCs w:val="22"/>
        </w:rPr>
        <w:tab/>
      </w:r>
      <w:r>
        <w:rPr>
          <w:sz w:val="28"/>
          <w:szCs w:val="22"/>
        </w:rPr>
        <w:tab/>
      </w:r>
      <w:r>
        <w:rPr>
          <w:sz w:val="28"/>
          <w:szCs w:val="22"/>
        </w:rPr>
        <w:tab/>
      </w:r>
      <w:r>
        <w:rPr>
          <w:sz w:val="28"/>
          <w:szCs w:val="22"/>
        </w:rPr>
        <w:tab/>
      </w:r>
      <w:r>
        <w:rPr>
          <w:sz w:val="28"/>
          <w:szCs w:val="22"/>
        </w:rPr>
        <w:tab/>
        <w:t xml:space="preserve">201 Laporte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Lincoln Center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417 West Magnolia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Foothills Assembly of God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305 Swallow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Southside Baptist Church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620 West Horsetooth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College of America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4601 South Mason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Meadowlark Church of Christ</w:t>
      </w:r>
      <w:r>
        <w:rPr>
          <w:sz w:val="28"/>
          <w:szCs w:val="22"/>
        </w:rPr>
        <w:tab/>
      </w:r>
      <w:r>
        <w:rPr>
          <w:sz w:val="28"/>
          <w:szCs w:val="22"/>
        </w:rPr>
        <w:tab/>
      </w:r>
      <w:r>
        <w:rPr>
          <w:sz w:val="28"/>
          <w:szCs w:val="22"/>
        </w:rPr>
        <w:tab/>
      </w:r>
      <w:r>
        <w:rPr>
          <w:sz w:val="28"/>
          <w:szCs w:val="22"/>
        </w:rPr>
        <w:tab/>
      </w:r>
      <w:r>
        <w:rPr>
          <w:sz w:val="28"/>
          <w:szCs w:val="22"/>
        </w:rPr>
        <w:tab/>
        <w:t xml:space="preserve">2810 Meadowlark Ave.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Congregation har shalom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725 West Drake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Trinity Lutheran Church </w:t>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30 East Stuart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St John’s Church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305 East Elizabeth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Islamic Center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900 Peterson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Terry Shores Community Church </w:t>
      </w:r>
      <w:r>
        <w:rPr>
          <w:sz w:val="28"/>
          <w:szCs w:val="22"/>
        </w:rPr>
        <w:tab/>
      </w:r>
      <w:r>
        <w:rPr>
          <w:sz w:val="28"/>
          <w:szCs w:val="22"/>
        </w:rPr>
        <w:tab/>
      </w:r>
      <w:r>
        <w:rPr>
          <w:sz w:val="28"/>
          <w:szCs w:val="22"/>
        </w:rPr>
        <w:tab/>
      </w:r>
      <w:r>
        <w:rPr>
          <w:sz w:val="28"/>
          <w:szCs w:val="22"/>
        </w:rPr>
        <w:tab/>
      </w:r>
      <w:r>
        <w:rPr>
          <w:sz w:val="28"/>
          <w:szCs w:val="22"/>
        </w:rPr>
        <w:tab/>
        <w:t xml:space="preserve">328 Remington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Catholic Mission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460 Linden Center Drive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Las Piueheras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#3 1003 N College Ave</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City Building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200 West Oak Street </w:t>
      </w:r>
    </w:p>
    <w:p w:rsidR="00FC2F6C" w:rsidRDefault="00FC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4"/>
        </w:rPr>
      </w:pPr>
      <w:r>
        <w:rPr>
          <w:sz w:val="28"/>
          <w:szCs w:val="22"/>
        </w:rPr>
        <w:t xml:space="preserve">Las Delicias </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#2 1605 S College Ave</w:t>
      </w:r>
    </w:p>
    <w:p w:rsidR="00FC2F6C" w:rsidRDefault="00FC2F6C">
      <w:pPr>
        <w:spacing w:line="360" w:lineRule="auto"/>
        <w:rPr>
          <w:color w:val="FF0000"/>
          <w:sz w:val="28"/>
          <w:szCs w:val="28"/>
        </w:rPr>
      </w:pPr>
    </w:p>
    <w:p w:rsidR="00FC2F6C" w:rsidRDefault="00FC2F6C">
      <w:pPr>
        <w:spacing w:line="360" w:lineRule="auto"/>
        <w:rPr>
          <w:color w:val="FF0000"/>
          <w:sz w:val="28"/>
          <w:szCs w:val="28"/>
        </w:rPr>
      </w:pPr>
    </w:p>
    <w:p w:rsidR="00FC2F6C" w:rsidRDefault="00FC2F6C">
      <w:pPr>
        <w:spacing w:line="360" w:lineRule="auto"/>
        <w:rPr>
          <w:color w:val="FF0000"/>
          <w:sz w:val="28"/>
          <w:szCs w:val="28"/>
        </w:rPr>
      </w:pPr>
    </w:p>
    <w:p w:rsidR="00FC2F6C" w:rsidRDefault="00FC2F6C">
      <w:pPr>
        <w:spacing w:line="360" w:lineRule="auto"/>
        <w:rPr>
          <w:color w:val="FF0000"/>
          <w:sz w:val="28"/>
          <w:szCs w:val="28"/>
        </w:rPr>
      </w:pPr>
    </w:p>
    <w:p w:rsidR="00FC2F6C" w:rsidRDefault="00FC2F6C">
      <w:pPr>
        <w:spacing w:line="360" w:lineRule="auto"/>
        <w:rPr>
          <w:sz w:val="28"/>
          <w:szCs w:val="28"/>
        </w:rPr>
      </w:pPr>
    </w:p>
    <w:p w:rsidR="00FC2F6C" w:rsidRDefault="00FC2F6C">
      <w:pPr>
        <w:spacing w:line="360" w:lineRule="auto"/>
        <w:rPr>
          <w:sz w:val="28"/>
          <w:szCs w:val="28"/>
        </w:rPr>
      </w:pPr>
    </w:p>
    <w:p w:rsidR="00FC2F6C" w:rsidRDefault="00FC2F6C">
      <w:pPr>
        <w:pStyle w:val="BHLevel2"/>
      </w:pPr>
      <w:bookmarkStart w:id="14" w:name="_Toc201633543"/>
      <w:r>
        <w:lastRenderedPageBreak/>
        <w:t>Language Access to LEP Persons</w:t>
      </w:r>
      <w:bookmarkEnd w:id="14"/>
    </w:p>
    <w:p w:rsidR="00FC2F6C" w:rsidRDefault="00FC2F6C">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C2F6C" w:rsidRDefault="00FC2F6C">
      <w:pPr>
        <w:spacing w:line="360" w:lineRule="auto"/>
      </w:pPr>
    </w:p>
    <w:p w:rsidR="00FC2F6C" w:rsidRDefault="00FC2F6C">
      <w:pPr>
        <w:spacing w:line="360" w:lineRule="auto"/>
        <w:rPr>
          <w:sz w:val="28"/>
          <w:szCs w:val="28"/>
        </w:rPr>
      </w:pPr>
      <w:r>
        <w:rPr>
          <w:b/>
          <w:sz w:val="28"/>
          <w:szCs w:val="28"/>
        </w:rPr>
        <w:t>Findings:</w:t>
      </w:r>
      <w:r>
        <w:rPr>
          <w:sz w:val="28"/>
          <w:szCs w:val="28"/>
        </w:rPr>
        <w:t xml:space="preserve">   During this Title VI Compliance Review of Transfort, deficiencies were found regarding Transfort’s compliance with FTA requirements for Language Access to LEP persons. </w:t>
      </w:r>
      <w:r w:rsidR="00F05785">
        <w:rPr>
          <w:sz w:val="28"/>
          <w:szCs w:val="28"/>
        </w:rPr>
        <w:t xml:space="preserve"> </w:t>
      </w:r>
      <w:r>
        <w:rPr>
          <w:sz w:val="28"/>
          <w:szCs w:val="28"/>
        </w:rPr>
        <w:t xml:space="preserve">During the Review, Transfort did not document that it had completed the LEP four-factor analysis or developed a Language Assistance Plan, as required by the FTA Circular. </w:t>
      </w:r>
      <w:r w:rsidR="00F05785">
        <w:rPr>
          <w:sz w:val="28"/>
          <w:szCs w:val="28"/>
        </w:rPr>
        <w:t xml:space="preserve"> </w:t>
      </w:r>
      <w:r>
        <w:rPr>
          <w:sz w:val="28"/>
          <w:szCs w:val="28"/>
        </w:rPr>
        <w:t xml:space="preserve">During the site visit, Transfort provided a “Draft Transfort Language Implementation Plan” that had not been completed. </w:t>
      </w:r>
      <w:r w:rsidR="00F05785">
        <w:rPr>
          <w:sz w:val="28"/>
          <w:szCs w:val="28"/>
        </w:rPr>
        <w:t xml:space="preserve"> </w:t>
      </w:r>
      <w:r>
        <w:rPr>
          <w:sz w:val="28"/>
          <w:szCs w:val="28"/>
        </w:rPr>
        <w:t xml:space="preserve">During the Review, Transfort did provide information on its LEP efforts, including: </w:t>
      </w:r>
    </w:p>
    <w:p w:rsidR="00FC2F6C" w:rsidRDefault="00FC2F6C">
      <w:pPr>
        <w:spacing w:line="360" w:lineRule="auto"/>
        <w:rPr>
          <w:sz w:val="28"/>
          <w:szCs w:val="28"/>
          <w:u w:val="single"/>
        </w:rPr>
      </w:pPr>
    </w:p>
    <w:p w:rsidR="00FC2F6C" w:rsidRDefault="00FC2F6C" w:rsidP="00FC2F6C">
      <w:pPr>
        <w:numPr>
          <w:ilvl w:val="0"/>
          <w:numId w:val="18"/>
        </w:numPr>
        <w:rPr>
          <w:sz w:val="28"/>
          <w:szCs w:val="28"/>
        </w:rPr>
      </w:pPr>
      <w:r>
        <w:rPr>
          <w:sz w:val="28"/>
          <w:szCs w:val="28"/>
        </w:rPr>
        <w:t xml:space="preserve">Bilingual (English/Spanish) bus schedules (also available in </w:t>
      </w:r>
      <w:r w:rsidR="00F05785">
        <w:rPr>
          <w:sz w:val="28"/>
          <w:szCs w:val="28"/>
        </w:rPr>
        <w:t>Braille</w:t>
      </w:r>
      <w:r>
        <w:rPr>
          <w:sz w:val="28"/>
          <w:szCs w:val="28"/>
        </w:rPr>
        <w:t xml:space="preserve"> and audio versions).</w:t>
      </w:r>
    </w:p>
    <w:p w:rsidR="00FC2F6C" w:rsidRDefault="00FC2F6C" w:rsidP="00FC2F6C">
      <w:pPr>
        <w:numPr>
          <w:ilvl w:val="0"/>
          <w:numId w:val="18"/>
        </w:numPr>
        <w:rPr>
          <w:sz w:val="28"/>
          <w:szCs w:val="28"/>
        </w:rPr>
      </w:pPr>
      <w:r>
        <w:rPr>
          <w:sz w:val="28"/>
          <w:szCs w:val="28"/>
        </w:rPr>
        <w:t>Bilingual (English/Spanish) public meeting announcements in local print media.</w:t>
      </w:r>
    </w:p>
    <w:p w:rsidR="00FC2F6C" w:rsidRDefault="00FC2F6C" w:rsidP="00FC2F6C">
      <w:pPr>
        <w:numPr>
          <w:ilvl w:val="0"/>
          <w:numId w:val="18"/>
        </w:numPr>
        <w:rPr>
          <w:sz w:val="28"/>
          <w:szCs w:val="28"/>
        </w:rPr>
      </w:pPr>
      <w:r>
        <w:rPr>
          <w:sz w:val="28"/>
          <w:szCs w:val="28"/>
        </w:rPr>
        <w:t>Bilingual (English/Spanish) meeting materials (i.e. comment sheets, informational materials, etc.)</w:t>
      </w:r>
    </w:p>
    <w:p w:rsidR="00FC2F6C" w:rsidRDefault="00FC2F6C" w:rsidP="00FC2F6C">
      <w:pPr>
        <w:numPr>
          <w:ilvl w:val="0"/>
          <w:numId w:val="18"/>
        </w:numPr>
        <w:rPr>
          <w:sz w:val="28"/>
          <w:szCs w:val="28"/>
        </w:rPr>
      </w:pPr>
      <w:r>
        <w:rPr>
          <w:sz w:val="28"/>
          <w:szCs w:val="28"/>
        </w:rPr>
        <w:t xml:space="preserve">Website is translatable to 42 different languages using Google Toolbar translator. </w:t>
      </w:r>
    </w:p>
    <w:p w:rsidR="00FC2F6C" w:rsidRDefault="00FC2F6C" w:rsidP="00FC2F6C">
      <w:pPr>
        <w:numPr>
          <w:ilvl w:val="0"/>
          <w:numId w:val="18"/>
        </w:numPr>
        <w:rPr>
          <w:sz w:val="28"/>
          <w:szCs w:val="28"/>
        </w:rPr>
      </w:pPr>
      <w:r>
        <w:rPr>
          <w:sz w:val="28"/>
          <w:szCs w:val="28"/>
        </w:rPr>
        <w:t>Spanish translator provided at public meetings.</w:t>
      </w:r>
    </w:p>
    <w:p w:rsidR="00FC2F6C" w:rsidRDefault="00FC2F6C">
      <w:pPr>
        <w:spacing w:line="360" w:lineRule="auto"/>
        <w:rPr>
          <w:sz w:val="28"/>
          <w:szCs w:val="28"/>
          <w:u w:val="single"/>
        </w:rPr>
      </w:pPr>
    </w:p>
    <w:p w:rsidR="00FC2F6C" w:rsidRDefault="00FC2F6C">
      <w:pPr>
        <w:spacing w:line="360" w:lineRule="auto"/>
        <w:rPr>
          <w:sz w:val="28"/>
          <w:szCs w:val="28"/>
        </w:rPr>
      </w:pPr>
      <w:r>
        <w:rPr>
          <w:sz w:val="28"/>
          <w:szCs w:val="28"/>
        </w:rPr>
        <w:t>In addition, Transfort indicated that it had two Spanish- speaking employees at both transit centers that had customer service activity.</w:t>
      </w:r>
    </w:p>
    <w:p w:rsidR="00A26743" w:rsidRDefault="00A26743">
      <w:pPr>
        <w:spacing w:line="360" w:lineRule="auto"/>
        <w:rPr>
          <w:sz w:val="28"/>
          <w:szCs w:val="28"/>
        </w:rPr>
      </w:pPr>
    </w:p>
    <w:p w:rsidR="00A26743" w:rsidRDefault="00A26743">
      <w:pPr>
        <w:spacing w:line="360" w:lineRule="auto"/>
        <w:rPr>
          <w:sz w:val="28"/>
          <w:szCs w:val="28"/>
        </w:rPr>
      </w:pPr>
      <w:r>
        <w:rPr>
          <w:sz w:val="28"/>
          <w:szCs w:val="28"/>
        </w:rPr>
        <w:t>Following the issuance of the draft report, Transfort submitted a “Language Access Plan”.  The plan contained the following required elements: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A26743" w:rsidTr="00A26743">
        <w:trPr>
          <w:cantSplit/>
          <w:trHeight w:val="561"/>
          <w:tblHeader/>
        </w:trPr>
        <w:tc>
          <w:tcPr>
            <w:tcW w:w="6678" w:type="dxa"/>
            <w:tcBorders>
              <w:bottom w:val="single" w:sz="4" w:space="0" w:color="000000"/>
            </w:tcBorders>
          </w:tcPr>
          <w:p w:rsidR="00A26743" w:rsidRDefault="00A26743" w:rsidP="00A26743">
            <w:pPr>
              <w:rPr>
                <w:b/>
                <w:bCs/>
                <w:sz w:val="24"/>
                <w:szCs w:val="28"/>
              </w:rPr>
            </w:pPr>
            <w:r>
              <w:rPr>
                <w:b/>
                <w:bCs/>
                <w:sz w:val="24"/>
                <w:szCs w:val="28"/>
              </w:rPr>
              <w:lastRenderedPageBreak/>
              <w:t>Elements Required for LEP Assessment and Language Access Plan (Per FTA C. 4702.1A, IV, 4. a. and DOT Policy Guidance)</w:t>
            </w:r>
          </w:p>
        </w:tc>
        <w:tc>
          <w:tcPr>
            <w:tcW w:w="2628" w:type="dxa"/>
            <w:tcBorders>
              <w:bottom w:val="single" w:sz="4" w:space="0" w:color="000000"/>
            </w:tcBorders>
          </w:tcPr>
          <w:p w:rsidR="00A26743" w:rsidRDefault="00A26743" w:rsidP="00A26743">
            <w:pPr>
              <w:jc w:val="center"/>
              <w:rPr>
                <w:b/>
                <w:bCs/>
                <w:sz w:val="24"/>
                <w:szCs w:val="28"/>
              </w:rPr>
            </w:pPr>
            <w:r>
              <w:rPr>
                <w:b/>
                <w:bCs/>
                <w:sz w:val="24"/>
                <w:szCs w:val="28"/>
              </w:rPr>
              <w:t>Included in Transfort’s</w:t>
            </w:r>
          </w:p>
          <w:p w:rsidR="00A26743" w:rsidRDefault="00A26743" w:rsidP="00A26743">
            <w:pPr>
              <w:jc w:val="center"/>
              <w:rPr>
                <w:b/>
                <w:bCs/>
                <w:sz w:val="24"/>
                <w:szCs w:val="28"/>
              </w:rPr>
            </w:pPr>
            <w:r>
              <w:rPr>
                <w:b/>
                <w:bCs/>
                <w:sz w:val="24"/>
                <w:szCs w:val="28"/>
              </w:rPr>
              <w:t>LAP?</w:t>
            </w:r>
          </w:p>
        </w:tc>
      </w:tr>
      <w:tr w:rsidR="00A26743" w:rsidTr="00A26743">
        <w:trPr>
          <w:cantSplit/>
          <w:trHeight w:val="422"/>
        </w:trPr>
        <w:tc>
          <w:tcPr>
            <w:tcW w:w="9306" w:type="dxa"/>
            <w:gridSpan w:val="2"/>
            <w:vAlign w:val="center"/>
          </w:tcPr>
          <w:p w:rsidR="00A26743" w:rsidRDefault="00A26743" w:rsidP="00A26743">
            <w:pPr>
              <w:jc w:val="center"/>
              <w:rPr>
                <w:sz w:val="22"/>
                <w:szCs w:val="28"/>
              </w:rPr>
            </w:pPr>
            <w:r>
              <w:rPr>
                <w:sz w:val="22"/>
                <w:szCs w:val="28"/>
              </w:rPr>
              <w:t>Part A – Four-Factor Assessment</w:t>
            </w:r>
          </w:p>
        </w:tc>
      </w:tr>
      <w:tr w:rsidR="00A26743" w:rsidTr="00A26743">
        <w:trPr>
          <w:cantSplit/>
        </w:trPr>
        <w:tc>
          <w:tcPr>
            <w:tcW w:w="6678" w:type="dxa"/>
          </w:tcPr>
          <w:p w:rsidR="00A26743" w:rsidRDefault="00A26743" w:rsidP="00A26743">
            <w:pPr>
              <w:numPr>
                <w:ilvl w:val="0"/>
                <w:numId w:val="21"/>
              </w:numPr>
              <w:rPr>
                <w:sz w:val="22"/>
                <w:szCs w:val="28"/>
              </w:rPr>
            </w:pPr>
            <w:r>
              <w:rPr>
                <w:sz w:val="22"/>
                <w:szCs w:val="28"/>
              </w:rPr>
              <w:t>Demography –The number or proportion of LEP persons eligible to be served or likely to be encountered</w:t>
            </w:r>
          </w:p>
        </w:tc>
        <w:tc>
          <w:tcPr>
            <w:tcW w:w="2628" w:type="dxa"/>
          </w:tcPr>
          <w:p w:rsidR="00A26743" w:rsidRDefault="00A26743" w:rsidP="00A26743">
            <w:pPr>
              <w:jc w:val="center"/>
              <w:rPr>
                <w:sz w:val="22"/>
                <w:szCs w:val="28"/>
              </w:rPr>
            </w:pPr>
            <w:r>
              <w:rPr>
                <w:sz w:val="22"/>
                <w:szCs w:val="28"/>
              </w:rPr>
              <w:t xml:space="preserve">Yes </w:t>
            </w:r>
          </w:p>
        </w:tc>
      </w:tr>
      <w:tr w:rsidR="00A26743" w:rsidTr="00A26743">
        <w:trPr>
          <w:cantSplit/>
        </w:trPr>
        <w:tc>
          <w:tcPr>
            <w:tcW w:w="6678" w:type="dxa"/>
          </w:tcPr>
          <w:p w:rsidR="00A26743" w:rsidRDefault="00A26743" w:rsidP="00A26743">
            <w:pPr>
              <w:numPr>
                <w:ilvl w:val="0"/>
                <w:numId w:val="21"/>
              </w:numPr>
              <w:rPr>
                <w:sz w:val="22"/>
                <w:szCs w:val="28"/>
              </w:rPr>
            </w:pPr>
            <w:r>
              <w:rPr>
                <w:sz w:val="22"/>
                <w:szCs w:val="28"/>
              </w:rPr>
              <w:t xml:space="preserve">Frequency of Contact  - </w:t>
            </w:r>
            <w:r>
              <w:rPr>
                <w:sz w:val="22"/>
              </w:rPr>
              <w:t>the frequency with which LEP individuals come in contact with the program and/or activities</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1"/>
              </w:numPr>
              <w:rPr>
                <w:sz w:val="22"/>
                <w:szCs w:val="28"/>
              </w:rPr>
            </w:pPr>
            <w:r>
              <w:rPr>
                <w:sz w:val="22"/>
              </w:rPr>
              <w:t>Importance - the nature and importance of the program, activity, or service to people's lives;</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1"/>
              </w:numPr>
              <w:rPr>
                <w:sz w:val="22"/>
                <w:szCs w:val="28"/>
              </w:rPr>
            </w:pPr>
            <w:r>
              <w:rPr>
                <w:sz w:val="22"/>
              </w:rPr>
              <w:t>Resources - the resources available and costs</w:t>
            </w:r>
          </w:p>
        </w:tc>
        <w:tc>
          <w:tcPr>
            <w:tcW w:w="2628" w:type="dxa"/>
          </w:tcPr>
          <w:p w:rsidR="00A26743" w:rsidRDefault="00D14D97" w:rsidP="00A26743">
            <w:pPr>
              <w:jc w:val="center"/>
              <w:rPr>
                <w:sz w:val="22"/>
                <w:szCs w:val="28"/>
              </w:rPr>
            </w:pPr>
            <w:r>
              <w:rPr>
                <w:sz w:val="22"/>
                <w:szCs w:val="28"/>
              </w:rPr>
              <w:t>Yes</w:t>
            </w:r>
          </w:p>
        </w:tc>
      </w:tr>
      <w:tr w:rsidR="00A26743" w:rsidTr="00A26743">
        <w:trPr>
          <w:cantSplit/>
          <w:trHeight w:val="422"/>
        </w:trPr>
        <w:tc>
          <w:tcPr>
            <w:tcW w:w="9306" w:type="dxa"/>
            <w:gridSpan w:val="2"/>
            <w:vAlign w:val="center"/>
          </w:tcPr>
          <w:p w:rsidR="00A26743" w:rsidRDefault="00A26743" w:rsidP="00A26743">
            <w:pPr>
              <w:jc w:val="center"/>
              <w:rPr>
                <w:sz w:val="22"/>
                <w:szCs w:val="28"/>
              </w:rPr>
            </w:pPr>
            <w:r>
              <w:rPr>
                <w:sz w:val="22"/>
                <w:szCs w:val="28"/>
              </w:rPr>
              <w:t>Part B - Develop Language Assistance Plan</w:t>
            </w:r>
          </w:p>
        </w:tc>
      </w:tr>
      <w:tr w:rsidR="00A26743" w:rsidTr="00A26743">
        <w:trPr>
          <w:cantSplit/>
        </w:trPr>
        <w:tc>
          <w:tcPr>
            <w:tcW w:w="6678" w:type="dxa"/>
          </w:tcPr>
          <w:p w:rsidR="00A26743" w:rsidRDefault="00A26743" w:rsidP="00A26743">
            <w:pPr>
              <w:numPr>
                <w:ilvl w:val="0"/>
                <w:numId w:val="22"/>
              </w:numPr>
              <w:rPr>
                <w:sz w:val="22"/>
                <w:szCs w:val="28"/>
              </w:rPr>
            </w:pPr>
            <w:r>
              <w:rPr>
                <w:sz w:val="22"/>
                <w:szCs w:val="28"/>
              </w:rPr>
              <w:t>Identification of LEP Persons</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2"/>
              </w:numPr>
              <w:rPr>
                <w:sz w:val="22"/>
                <w:szCs w:val="28"/>
              </w:rPr>
            </w:pPr>
            <w:r>
              <w:rPr>
                <w:sz w:val="22"/>
                <w:szCs w:val="28"/>
              </w:rPr>
              <w:t>Language Assistance Measures</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2"/>
              </w:numPr>
              <w:rPr>
                <w:sz w:val="22"/>
                <w:szCs w:val="28"/>
              </w:rPr>
            </w:pPr>
            <w:r>
              <w:rPr>
                <w:sz w:val="22"/>
                <w:szCs w:val="28"/>
              </w:rPr>
              <w:t>Training of Staff</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2"/>
              </w:numPr>
              <w:rPr>
                <w:sz w:val="22"/>
                <w:szCs w:val="28"/>
              </w:rPr>
            </w:pPr>
            <w:r>
              <w:rPr>
                <w:sz w:val="22"/>
                <w:szCs w:val="28"/>
              </w:rPr>
              <w:t>Provide Notice to LEP Persons</w:t>
            </w:r>
          </w:p>
        </w:tc>
        <w:tc>
          <w:tcPr>
            <w:tcW w:w="2628" w:type="dxa"/>
          </w:tcPr>
          <w:p w:rsidR="00A26743" w:rsidRDefault="00A26743" w:rsidP="00A26743">
            <w:pPr>
              <w:jc w:val="center"/>
              <w:rPr>
                <w:sz w:val="22"/>
                <w:szCs w:val="28"/>
              </w:rPr>
            </w:pPr>
            <w:r>
              <w:rPr>
                <w:sz w:val="22"/>
                <w:szCs w:val="28"/>
              </w:rPr>
              <w:t>Yes</w:t>
            </w:r>
          </w:p>
        </w:tc>
      </w:tr>
      <w:tr w:rsidR="00A26743" w:rsidTr="00A26743">
        <w:trPr>
          <w:cantSplit/>
        </w:trPr>
        <w:tc>
          <w:tcPr>
            <w:tcW w:w="6678" w:type="dxa"/>
          </w:tcPr>
          <w:p w:rsidR="00A26743" w:rsidRDefault="00A26743" w:rsidP="00A26743">
            <w:pPr>
              <w:numPr>
                <w:ilvl w:val="0"/>
                <w:numId w:val="22"/>
              </w:numPr>
              <w:rPr>
                <w:sz w:val="22"/>
                <w:szCs w:val="28"/>
              </w:rPr>
            </w:pPr>
            <w:r>
              <w:rPr>
                <w:sz w:val="22"/>
                <w:szCs w:val="28"/>
              </w:rPr>
              <w:t>Monitor and Update the LAP</w:t>
            </w:r>
          </w:p>
        </w:tc>
        <w:tc>
          <w:tcPr>
            <w:tcW w:w="2628" w:type="dxa"/>
          </w:tcPr>
          <w:p w:rsidR="00A26743" w:rsidRDefault="00A26743" w:rsidP="00A26743">
            <w:pPr>
              <w:jc w:val="center"/>
              <w:rPr>
                <w:sz w:val="22"/>
                <w:szCs w:val="28"/>
              </w:rPr>
            </w:pPr>
            <w:r>
              <w:rPr>
                <w:sz w:val="22"/>
                <w:szCs w:val="28"/>
              </w:rPr>
              <w:t>Yes</w:t>
            </w:r>
          </w:p>
        </w:tc>
      </w:tr>
    </w:tbl>
    <w:p w:rsidR="00FC2F6C" w:rsidRDefault="00FC2F6C">
      <w:pPr>
        <w:pStyle w:val="Outline1"/>
        <w:tabs>
          <w:tab w:val="clear" w:pos="360"/>
        </w:tabs>
        <w:ind w:left="144" w:firstLine="0"/>
        <w:rPr>
          <w:b/>
          <w:color w:val="FF0000"/>
          <w:sz w:val="28"/>
          <w:szCs w:val="28"/>
        </w:rPr>
      </w:pPr>
    </w:p>
    <w:p w:rsidR="00FC2F6C" w:rsidRDefault="00A26743">
      <w:pPr>
        <w:spacing w:line="360" w:lineRule="auto"/>
        <w:rPr>
          <w:sz w:val="28"/>
          <w:szCs w:val="28"/>
        </w:rPr>
      </w:pPr>
      <w:r>
        <w:rPr>
          <w:sz w:val="28"/>
          <w:szCs w:val="28"/>
        </w:rPr>
        <w:t>Transfort’s initial assessment of frequency of contact with LEP persons ranged from three to five percent of customers.  Transfort identified standard language assistance measures, described staff training</w:t>
      </w:r>
      <w:r w:rsidR="00D14D97">
        <w:rPr>
          <w:sz w:val="28"/>
          <w:szCs w:val="28"/>
        </w:rPr>
        <w:t>,</w:t>
      </w:r>
      <w:r>
        <w:rPr>
          <w:sz w:val="28"/>
          <w:szCs w:val="28"/>
        </w:rPr>
        <w:t xml:space="preserve"> and identified mechanisms for notifying LEP persons of their rights.  Transfort also described how it would monitor and update the Plan on a periodic basis.</w:t>
      </w:r>
    </w:p>
    <w:p w:rsidR="00A26743" w:rsidRDefault="00A26743">
      <w:pPr>
        <w:spacing w:line="360" w:lineRule="auto"/>
        <w:rPr>
          <w:sz w:val="28"/>
          <w:szCs w:val="28"/>
        </w:rPr>
      </w:pPr>
    </w:p>
    <w:p w:rsidR="00A26743" w:rsidRDefault="00A26743">
      <w:pPr>
        <w:spacing w:line="360" w:lineRule="auto"/>
        <w:rPr>
          <w:sz w:val="28"/>
          <w:szCs w:val="28"/>
        </w:rPr>
      </w:pPr>
      <w:r>
        <w:rPr>
          <w:sz w:val="28"/>
          <w:szCs w:val="28"/>
        </w:rPr>
        <w:t xml:space="preserve">The deficiency in this area is now closed. </w:t>
      </w:r>
    </w:p>
    <w:p w:rsidR="00FC2F6C" w:rsidRDefault="00FC2F6C">
      <w:pPr>
        <w:spacing w:line="360" w:lineRule="auto"/>
        <w:rPr>
          <w:sz w:val="28"/>
          <w:szCs w:val="28"/>
        </w:rPr>
      </w:pPr>
    </w:p>
    <w:p w:rsidR="00FC2F6C" w:rsidRDefault="00FC2F6C">
      <w:pPr>
        <w:pStyle w:val="BHLevel2"/>
      </w:pPr>
      <w:bookmarkStart w:id="15" w:name="_Toc201633544"/>
      <w:r>
        <w:t>Title VI Complaint Procedures</w:t>
      </w:r>
      <w:bookmarkEnd w:id="15"/>
    </w:p>
    <w:p w:rsidR="00FC2F6C" w:rsidRDefault="00FC2F6C">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C2F6C" w:rsidRDefault="00FC2F6C">
      <w:pPr>
        <w:spacing w:line="360" w:lineRule="auto"/>
        <w:rPr>
          <w:b/>
          <w:sz w:val="28"/>
          <w:szCs w:val="28"/>
        </w:rPr>
      </w:pPr>
    </w:p>
    <w:p w:rsidR="00FC2F6C" w:rsidRDefault="00FC2F6C">
      <w:pPr>
        <w:spacing w:line="360" w:lineRule="auto"/>
        <w:rPr>
          <w:sz w:val="28"/>
          <w:szCs w:val="28"/>
        </w:rPr>
      </w:pPr>
      <w:r>
        <w:rPr>
          <w:b/>
          <w:sz w:val="28"/>
          <w:szCs w:val="28"/>
        </w:rPr>
        <w:t>Findings:</w:t>
      </w:r>
      <w:r>
        <w:rPr>
          <w:sz w:val="28"/>
          <w:szCs w:val="28"/>
        </w:rPr>
        <w:t xml:space="preserve">  During this Title VI Compliance Review of Transfort, no deficiencies were found regarding Transfort’s compliance with FTA requirements for Title VI Complaint Procedures.  Transfort’s Title VI Complaint </w:t>
      </w:r>
      <w:r>
        <w:rPr>
          <w:sz w:val="28"/>
          <w:szCs w:val="28"/>
        </w:rPr>
        <w:lastRenderedPageBreak/>
        <w:t xml:space="preserve">procedures and forms are located on </w:t>
      </w:r>
      <w:r w:rsidR="00F05785">
        <w:rPr>
          <w:sz w:val="28"/>
          <w:szCs w:val="28"/>
        </w:rPr>
        <w:t>its</w:t>
      </w:r>
      <w:r>
        <w:rPr>
          <w:sz w:val="28"/>
          <w:szCs w:val="28"/>
        </w:rPr>
        <w:t xml:space="preserve"> web site and referenced in </w:t>
      </w:r>
      <w:r w:rsidR="00F05785">
        <w:rPr>
          <w:sz w:val="28"/>
          <w:szCs w:val="28"/>
        </w:rPr>
        <w:t>its</w:t>
      </w:r>
      <w:r>
        <w:rPr>
          <w:sz w:val="28"/>
          <w:szCs w:val="28"/>
        </w:rPr>
        <w:t xml:space="preserve"> Non-Discrimination Policy posted at administration offices and transit centers.  Transfort’s Complaint Procedures are as follows:</w:t>
      </w:r>
    </w:p>
    <w:p w:rsidR="00FC2F6C" w:rsidRDefault="00FC2F6C">
      <w:pPr>
        <w:rPr>
          <w:sz w:val="28"/>
          <w:szCs w:val="28"/>
        </w:rPr>
      </w:pPr>
    </w:p>
    <w:p w:rsidR="00FC2F6C" w:rsidRDefault="00FC2F6C">
      <w:pPr>
        <w:ind w:left="720"/>
        <w:rPr>
          <w:i/>
          <w:sz w:val="28"/>
        </w:rPr>
      </w:pPr>
      <w:r>
        <w:rPr>
          <w:i/>
          <w:sz w:val="28"/>
        </w:rPr>
        <w:t>All complaints are entered and tracked in the Trapeze COM Database.  Complaints are assigned a manager in the system, depending on what area of operations is concerned and the manager is tasked with resolving the complaint within two weeks.  Those issues not resolved within the two week period, are highlighted and a regular report detailing unresolved complaints is generated and forwarded to the General Manager for resolution.</w:t>
      </w:r>
    </w:p>
    <w:p w:rsidR="00FC2F6C" w:rsidRDefault="00FC2F6C">
      <w:pPr>
        <w:spacing w:line="360" w:lineRule="auto"/>
        <w:rPr>
          <w:sz w:val="28"/>
          <w:szCs w:val="28"/>
        </w:rPr>
      </w:pPr>
    </w:p>
    <w:p w:rsidR="00FC2F6C" w:rsidRDefault="00FC2F6C">
      <w:pPr>
        <w:pStyle w:val="BHLevel2"/>
      </w:pPr>
      <w:bookmarkStart w:id="16" w:name="_Toc201633545"/>
      <w:r>
        <w:t>Record of Title VI Investigations, Complaints, and Lawsuit</w:t>
      </w:r>
      <w:bookmarkEnd w:id="16"/>
      <w:r>
        <w:t>s</w:t>
      </w:r>
    </w:p>
    <w:p w:rsidR="00FC2F6C" w:rsidRDefault="00FC2F6C">
      <w:pPr>
        <w:rPr>
          <w:b/>
          <w:sz w:val="28"/>
          <w:szCs w:val="28"/>
        </w:rPr>
      </w:pPr>
    </w:p>
    <w:p w:rsidR="00FC2F6C" w:rsidRDefault="00FC2F6C">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C2F6C" w:rsidRDefault="00FC2F6C">
      <w:pPr>
        <w:pStyle w:val="ReferenceLine"/>
        <w:spacing w:line="360" w:lineRule="auto"/>
        <w:rPr>
          <w:sz w:val="28"/>
          <w:szCs w:val="28"/>
        </w:rPr>
      </w:pPr>
    </w:p>
    <w:p w:rsidR="00FC2F6C" w:rsidRDefault="00FC2F6C">
      <w:pPr>
        <w:spacing w:line="360" w:lineRule="auto"/>
        <w:rPr>
          <w:kern w:val="32"/>
          <w:sz w:val="28"/>
          <w:u w:val="single"/>
        </w:rPr>
      </w:pPr>
      <w:r>
        <w:rPr>
          <w:b/>
          <w:sz w:val="28"/>
          <w:szCs w:val="28"/>
        </w:rPr>
        <w:t xml:space="preserve">Findings: </w:t>
      </w:r>
      <w:r>
        <w:rPr>
          <w:sz w:val="28"/>
          <w:szCs w:val="28"/>
        </w:rPr>
        <w:t xml:space="preserve">During this Title VI Compliance Review of Transfort, no deficiencies were found regarding Transfort’s compliance with FTA requirements for Record of Title VI Investigations, Complaints, and Lawsuits.  Transfort did maintain a record of Title VI investigations, complaints, and lawsuits. Transfort reported that no Title VI complaints have been </w:t>
      </w:r>
      <w:r>
        <w:rPr>
          <w:kern w:val="32"/>
          <w:sz w:val="28"/>
        </w:rPr>
        <w:t xml:space="preserve">filed against it alleging discrimination on the basis of race, color, or national origin.   </w:t>
      </w:r>
    </w:p>
    <w:p w:rsidR="00FC2F6C" w:rsidRDefault="00FC2F6C">
      <w:pPr>
        <w:spacing w:line="360" w:lineRule="auto"/>
        <w:rPr>
          <w:bCs/>
          <w:sz w:val="28"/>
          <w:szCs w:val="28"/>
        </w:rPr>
      </w:pPr>
    </w:p>
    <w:p w:rsidR="00FC2F6C" w:rsidRDefault="00FC2F6C">
      <w:pPr>
        <w:pStyle w:val="BHLevel2"/>
      </w:pPr>
      <w:bookmarkStart w:id="17" w:name="_Toc201633546"/>
      <w:r>
        <w:lastRenderedPageBreak/>
        <w:t>Notice to Beneficiaries of Protection Under Title VI</w:t>
      </w:r>
      <w:bookmarkEnd w:id="17"/>
    </w:p>
    <w:p w:rsidR="00FC2F6C" w:rsidRDefault="00FC2F6C">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C2F6C" w:rsidRDefault="00FC2F6C">
      <w:pPr>
        <w:spacing w:line="360" w:lineRule="auto"/>
        <w:rPr>
          <w:sz w:val="28"/>
          <w:szCs w:val="28"/>
        </w:rPr>
      </w:pPr>
    </w:p>
    <w:p w:rsidR="00FC2F6C" w:rsidRDefault="00FC2F6C">
      <w:pPr>
        <w:spacing w:line="360" w:lineRule="auto"/>
        <w:rPr>
          <w:sz w:val="28"/>
          <w:szCs w:val="28"/>
        </w:rPr>
      </w:pPr>
      <w:r>
        <w:rPr>
          <w:b/>
          <w:sz w:val="28"/>
          <w:szCs w:val="28"/>
        </w:rPr>
        <w:t xml:space="preserve">Findings:  </w:t>
      </w:r>
      <w:r>
        <w:rPr>
          <w:sz w:val="28"/>
          <w:szCs w:val="28"/>
        </w:rPr>
        <w:t>During this Title VI Compliance Review of Transfort, no deficiencies were found regarding Transfort’s compliance with FTA requirements for Notice to Beneficiaries of Protection Under Title VI.  In response to a Title VI deficiency identified in Transfort’s 2009 Triennial Review, Transfort developed a public notice stating Transfort’s commitment to Title VI compliance.  The Review team confirmed that this public notice was posted on the Transfort web site, at transit centers, and in the administration office.  In addition, Transfort developed a Title VI complaint form that is made available at all transit centers.  During the Review, the Review team noted that the public notice developed by Transfort did not clearly communicate Tranfort’s procedures for filing a Title VI complaint</w:t>
      </w:r>
      <w:r w:rsidR="00D4442A">
        <w:rPr>
          <w:sz w:val="28"/>
          <w:szCs w:val="28"/>
        </w:rPr>
        <w:t>.  The Review team</w:t>
      </w:r>
      <w:r>
        <w:rPr>
          <w:sz w:val="28"/>
          <w:szCs w:val="28"/>
        </w:rPr>
        <w:t xml:space="preserve"> provided guidance on how Transfort could modify the public notice to fully comply with Title VI Circular 4702.1A.  Before the conclusion of the site visit, Transfort modified the public notice to include clear procedures for filing a Title VI complaint as required by the Circular.  By the end of the site visit, the modified Policy had been disseminated to the public.  The Policy was posted in places (at transit centers and in the administration office) where the public could view it. </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 xml:space="preserve">Transfort also stated </w:t>
      </w:r>
      <w:r w:rsidR="00D4442A">
        <w:rPr>
          <w:sz w:val="28"/>
          <w:szCs w:val="28"/>
        </w:rPr>
        <w:t>its</w:t>
      </w:r>
      <w:r>
        <w:rPr>
          <w:sz w:val="28"/>
          <w:szCs w:val="28"/>
        </w:rPr>
        <w:t xml:space="preserve"> intention to include </w:t>
      </w:r>
      <w:r w:rsidR="00D4442A">
        <w:rPr>
          <w:sz w:val="28"/>
          <w:szCs w:val="28"/>
        </w:rPr>
        <w:t>its</w:t>
      </w:r>
      <w:r>
        <w:rPr>
          <w:sz w:val="28"/>
          <w:szCs w:val="28"/>
        </w:rPr>
        <w:t xml:space="preserve"> Non-Discrimination Policy in all future editions of its printed bus schedules.  The Review team reminded </w:t>
      </w:r>
      <w:r>
        <w:rPr>
          <w:sz w:val="28"/>
          <w:szCs w:val="28"/>
        </w:rPr>
        <w:lastRenderedPageBreak/>
        <w:t>Transfort to include clear procedures for filing a Title VI complaint in that Non-Discrimination Policy.</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Transfort’s Title VI Non-Discrimination Policy Statement included all three required elements, as shown on the following table:</w:t>
      </w:r>
      <w:r>
        <w:rPr>
          <w:sz w:val="28"/>
          <w:szCs w:val="28"/>
          <w:u w:val="single"/>
        </w:rPr>
        <w:t xml:space="preserve"> </w:t>
      </w:r>
      <w:r>
        <w:rPr>
          <w:sz w:val="28"/>
          <w:szCs w:val="28"/>
        </w:rPr>
        <w:t xml:space="preserve"> </w:t>
      </w:r>
    </w:p>
    <w:p w:rsidR="00FC2F6C" w:rsidRDefault="00FC2F6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3528"/>
      </w:tblGrid>
      <w:tr w:rsidR="00FC2F6C">
        <w:trPr>
          <w:tblHeader/>
        </w:trPr>
        <w:tc>
          <w:tcPr>
            <w:tcW w:w="5778" w:type="dxa"/>
          </w:tcPr>
          <w:p w:rsidR="00FC2F6C" w:rsidRDefault="00FC2F6C">
            <w:pPr>
              <w:rPr>
                <w:b/>
                <w:bCs/>
                <w:sz w:val="24"/>
                <w:szCs w:val="28"/>
              </w:rPr>
            </w:pPr>
            <w:r>
              <w:rPr>
                <w:b/>
                <w:bCs/>
                <w:sz w:val="28"/>
                <w:szCs w:val="28"/>
              </w:rPr>
              <w:br w:type="page"/>
            </w:r>
            <w:r>
              <w:rPr>
                <w:b/>
                <w:bCs/>
                <w:sz w:val="24"/>
                <w:szCs w:val="28"/>
              </w:rPr>
              <w:t>Elements Required in Title VI Notification</w:t>
            </w:r>
          </w:p>
          <w:p w:rsidR="00FC2F6C" w:rsidRDefault="00FC2F6C">
            <w:pPr>
              <w:rPr>
                <w:b/>
                <w:bCs/>
                <w:sz w:val="22"/>
                <w:szCs w:val="28"/>
              </w:rPr>
            </w:pPr>
            <w:r>
              <w:rPr>
                <w:b/>
                <w:bCs/>
                <w:sz w:val="22"/>
                <w:szCs w:val="28"/>
              </w:rPr>
              <w:t>(Per FTA Circular 4702.1A Chapter IV Section 5.a)</w:t>
            </w:r>
          </w:p>
        </w:tc>
        <w:tc>
          <w:tcPr>
            <w:tcW w:w="3528" w:type="dxa"/>
          </w:tcPr>
          <w:p w:rsidR="00FC2F6C" w:rsidRDefault="00FC2F6C" w:rsidP="00D4442A">
            <w:pPr>
              <w:jc w:val="center"/>
              <w:rPr>
                <w:b/>
                <w:bCs/>
                <w:sz w:val="24"/>
                <w:szCs w:val="28"/>
              </w:rPr>
            </w:pPr>
            <w:r>
              <w:rPr>
                <w:b/>
                <w:bCs/>
                <w:sz w:val="24"/>
                <w:szCs w:val="28"/>
              </w:rPr>
              <w:t>Included in Transfort Policy Statement?</w:t>
            </w:r>
          </w:p>
        </w:tc>
      </w:tr>
      <w:tr w:rsidR="00FC2F6C">
        <w:tc>
          <w:tcPr>
            <w:tcW w:w="5778" w:type="dxa"/>
          </w:tcPr>
          <w:p w:rsidR="00FC2F6C" w:rsidRDefault="00FC2F6C">
            <w:pPr>
              <w:rPr>
                <w:sz w:val="22"/>
                <w:szCs w:val="28"/>
              </w:rPr>
            </w:pPr>
            <w:r>
              <w:rPr>
                <w:sz w:val="22"/>
                <w:szCs w:val="28"/>
              </w:rPr>
              <w:t>A statement that the agency operates programs without regard to race, color, and national origin</w:t>
            </w:r>
          </w:p>
        </w:tc>
        <w:tc>
          <w:tcPr>
            <w:tcW w:w="3528" w:type="dxa"/>
            <w:tcBorders>
              <w:bottom w:val="single" w:sz="4" w:space="0" w:color="000000"/>
            </w:tcBorders>
          </w:tcPr>
          <w:p w:rsidR="00FC2F6C" w:rsidRDefault="00FC2F6C">
            <w:pPr>
              <w:jc w:val="center"/>
              <w:rPr>
                <w:sz w:val="22"/>
                <w:szCs w:val="28"/>
              </w:rPr>
            </w:pPr>
            <w:r>
              <w:rPr>
                <w:sz w:val="22"/>
                <w:szCs w:val="28"/>
              </w:rPr>
              <w:t>Yes</w:t>
            </w:r>
          </w:p>
        </w:tc>
      </w:tr>
      <w:tr w:rsidR="00FC2F6C">
        <w:tc>
          <w:tcPr>
            <w:tcW w:w="5778" w:type="dxa"/>
          </w:tcPr>
          <w:p w:rsidR="00FC2F6C" w:rsidRDefault="00FC2F6C">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FC2F6C" w:rsidRDefault="00FC2F6C">
            <w:pPr>
              <w:jc w:val="center"/>
              <w:rPr>
                <w:sz w:val="22"/>
                <w:szCs w:val="28"/>
              </w:rPr>
            </w:pPr>
            <w:r>
              <w:rPr>
                <w:sz w:val="22"/>
                <w:szCs w:val="28"/>
              </w:rPr>
              <w:t>Yes</w:t>
            </w:r>
          </w:p>
        </w:tc>
      </w:tr>
      <w:tr w:rsidR="00FC2F6C">
        <w:tc>
          <w:tcPr>
            <w:tcW w:w="5778" w:type="dxa"/>
          </w:tcPr>
          <w:p w:rsidR="00FC2F6C" w:rsidRDefault="00FC2F6C">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FC2F6C" w:rsidRDefault="00FC2F6C">
            <w:pPr>
              <w:jc w:val="center"/>
              <w:rPr>
                <w:sz w:val="22"/>
                <w:szCs w:val="28"/>
              </w:rPr>
            </w:pPr>
            <w:r>
              <w:rPr>
                <w:sz w:val="22"/>
                <w:szCs w:val="28"/>
              </w:rPr>
              <w:t>Yes</w:t>
            </w:r>
          </w:p>
        </w:tc>
      </w:tr>
    </w:tbl>
    <w:p w:rsidR="00FC2F6C" w:rsidRDefault="00FC2F6C">
      <w:pPr>
        <w:ind w:left="360"/>
        <w:rPr>
          <w:sz w:val="28"/>
          <w:szCs w:val="28"/>
        </w:rPr>
      </w:pPr>
    </w:p>
    <w:p w:rsidR="00FC2F6C" w:rsidRDefault="00FC2F6C">
      <w:pPr>
        <w:spacing w:line="360" w:lineRule="auto"/>
        <w:rPr>
          <w:sz w:val="28"/>
          <w:szCs w:val="28"/>
        </w:rPr>
      </w:pPr>
      <w:r>
        <w:rPr>
          <w:sz w:val="28"/>
          <w:szCs w:val="28"/>
        </w:rPr>
        <w:t>Tranport’s Policy statement is as follows:</w:t>
      </w:r>
    </w:p>
    <w:p w:rsidR="00FC2F6C" w:rsidRDefault="00FC2F6C">
      <w:pPr>
        <w:rPr>
          <w:bCs/>
          <w:i/>
          <w:sz w:val="28"/>
          <w:szCs w:val="24"/>
        </w:rPr>
      </w:pPr>
      <w:r>
        <w:rPr>
          <w:bCs/>
          <w:i/>
          <w:sz w:val="28"/>
          <w:szCs w:val="24"/>
        </w:rPr>
        <w:t>Transfort/Dial-A-Ride is committed to ensuring that no individual is excluded from participation in, denied the benefits of its programs, activities or services, or subject to discrimination on the basis of race, color or national origin as per the Title VI of the Civil Rights Act of 1964, as amended.</w:t>
      </w:r>
    </w:p>
    <w:p w:rsidR="00FC2F6C" w:rsidRDefault="00FC2F6C">
      <w:pPr>
        <w:rPr>
          <w:bCs/>
          <w:i/>
          <w:sz w:val="28"/>
          <w:szCs w:val="24"/>
        </w:rPr>
      </w:pPr>
    </w:p>
    <w:p w:rsidR="00FC2F6C" w:rsidRDefault="00FC2F6C">
      <w:pPr>
        <w:rPr>
          <w:bCs/>
          <w:i/>
          <w:sz w:val="28"/>
          <w:szCs w:val="24"/>
        </w:rPr>
      </w:pPr>
      <w:r>
        <w:rPr>
          <w:bCs/>
          <w:i/>
          <w:sz w:val="28"/>
          <w:szCs w:val="24"/>
        </w:rPr>
        <w:t>Toward this end, Transfort/Dial-A-Ride's departments and employees are responsible for carrying out the commitment to non-discrimination including the requirements of Title VI. This includes the following:</w:t>
      </w:r>
    </w:p>
    <w:p w:rsidR="00FC2F6C" w:rsidRDefault="00FC2F6C">
      <w:pPr>
        <w:rPr>
          <w:bCs/>
          <w:i/>
          <w:sz w:val="28"/>
          <w:szCs w:val="24"/>
        </w:rPr>
      </w:pPr>
    </w:p>
    <w:p w:rsidR="00FC2F6C" w:rsidRDefault="00FC2F6C" w:rsidP="00FC2F6C">
      <w:pPr>
        <w:numPr>
          <w:ilvl w:val="0"/>
          <w:numId w:val="14"/>
        </w:numPr>
        <w:tabs>
          <w:tab w:val="clear" w:pos="144"/>
          <w:tab w:val="left" w:pos="720"/>
        </w:tabs>
        <w:ind w:left="720" w:hanging="684"/>
        <w:rPr>
          <w:bCs/>
          <w:i/>
          <w:sz w:val="28"/>
          <w:szCs w:val="24"/>
        </w:rPr>
      </w:pPr>
      <w:r>
        <w:rPr>
          <w:bCs/>
          <w:i/>
          <w:sz w:val="28"/>
          <w:szCs w:val="24"/>
        </w:rPr>
        <w:t>To ensure that the level and quality of transportation services are provided to all;</w:t>
      </w:r>
    </w:p>
    <w:p w:rsidR="00FC2F6C" w:rsidRDefault="007B0A40" w:rsidP="007B0A40">
      <w:pPr>
        <w:numPr>
          <w:ilvl w:val="0"/>
          <w:numId w:val="14"/>
        </w:numPr>
        <w:rPr>
          <w:bCs/>
          <w:i/>
          <w:sz w:val="28"/>
          <w:szCs w:val="24"/>
        </w:rPr>
      </w:pPr>
      <w:r>
        <w:rPr>
          <w:bCs/>
          <w:i/>
          <w:sz w:val="28"/>
          <w:szCs w:val="24"/>
        </w:rPr>
        <w:t xml:space="preserve">        </w:t>
      </w:r>
      <w:r w:rsidR="00FC2F6C">
        <w:rPr>
          <w:bCs/>
          <w:i/>
          <w:sz w:val="28"/>
          <w:szCs w:val="24"/>
        </w:rPr>
        <w:t>To promote full and fair participation in transportation decision making;</w:t>
      </w:r>
    </w:p>
    <w:p w:rsidR="00FC2F6C" w:rsidRDefault="00FC2F6C" w:rsidP="00FC2F6C">
      <w:pPr>
        <w:numPr>
          <w:ilvl w:val="0"/>
          <w:numId w:val="14"/>
        </w:numPr>
        <w:tabs>
          <w:tab w:val="clear" w:pos="144"/>
          <w:tab w:val="num" w:pos="720"/>
        </w:tabs>
        <w:ind w:left="720" w:hanging="720"/>
        <w:rPr>
          <w:bCs/>
          <w:i/>
          <w:sz w:val="28"/>
          <w:szCs w:val="24"/>
        </w:rPr>
      </w:pPr>
      <w:r>
        <w:rPr>
          <w:bCs/>
          <w:i/>
          <w:sz w:val="28"/>
          <w:szCs w:val="24"/>
        </w:rPr>
        <w:t>To ensure meaningful access to Transfort/Dial-A-Ride's programs and activities by persons with limited English Proficiency;</w:t>
      </w:r>
    </w:p>
    <w:p w:rsidR="00FC2F6C" w:rsidRDefault="00FC2F6C" w:rsidP="00FC2F6C">
      <w:pPr>
        <w:numPr>
          <w:ilvl w:val="0"/>
          <w:numId w:val="14"/>
        </w:numPr>
        <w:tabs>
          <w:tab w:val="clear" w:pos="144"/>
          <w:tab w:val="num" w:pos="720"/>
        </w:tabs>
        <w:ind w:left="720" w:hanging="720"/>
        <w:rPr>
          <w:bCs/>
          <w:i/>
          <w:sz w:val="28"/>
          <w:szCs w:val="24"/>
        </w:rPr>
      </w:pPr>
      <w:r>
        <w:rPr>
          <w:bCs/>
          <w:i/>
          <w:sz w:val="28"/>
          <w:szCs w:val="24"/>
        </w:rPr>
        <w:t>To identify and address, as appropriate the human health, social, economic and environmental effects of Transfort/Dial-A-Ride's programs and activities on all populations.</w:t>
      </w:r>
    </w:p>
    <w:p w:rsidR="00FC2F6C" w:rsidRDefault="00FC2F6C">
      <w:pPr>
        <w:rPr>
          <w:bCs/>
          <w:i/>
          <w:sz w:val="28"/>
          <w:szCs w:val="24"/>
        </w:rPr>
      </w:pPr>
    </w:p>
    <w:p w:rsidR="00FC2F6C" w:rsidRDefault="00FC2F6C">
      <w:pPr>
        <w:rPr>
          <w:bCs/>
          <w:i/>
          <w:sz w:val="28"/>
          <w:szCs w:val="24"/>
        </w:rPr>
      </w:pPr>
      <w:r>
        <w:rPr>
          <w:bCs/>
          <w:i/>
          <w:sz w:val="28"/>
          <w:szCs w:val="24"/>
        </w:rPr>
        <w:lastRenderedPageBreak/>
        <w:t>For additional information on Transfort's non-discrimination obligations, or if you believe you have been subjected to discrimination under Title VI and would like to file a written complaint with Transfort management, contact:</w:t>
      </w:r>
    </w:p>
    <w:p w:rsidR="00FC2F6C" w:rsidRDefault="00FC2F6C">
      <w:pPr>
        <w:spacing w:line="360" w:lineRule="auto"/>
        <w:rPr>
          <w:b/>
          <w:bC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07"/>
        <w:gridCol w:w="2058"/>
        <w:gridCol w:w="1968"/>
        <w:gridCol w:w="3173"/>
      </w:tblGrid>
      <w:tr w:rsidR="00FC2F6C">
        <w:tc>
          <w:tcPr>
            <w:tcW w:w="2107" w:type="dxa"/>
          </w:tcPr>
          <w:p w:rsidR="00FC2F6C" w:rsidRDefault="00FC2F6C">
            <w:pPr>
              <w:rPr>
                <w:bCs/>
                <w:i/>
                <w:sz w:val="24"/>
                <w:szCs w:val="24"/>
              </w:rPr>
            </w:pPr>
            <w:r>
              <w:rPr>
                <w:bCs/>
                <w:i/>
                <w:sz w:val="24"/>
                <w:szCs w:val="24"/>
              </w:rPr>
              <w:t>MAIL:</w:t>
            </w:r>
          </w:p>
          <w:p w:rsidR="00FC2F6C" w:rsidRDefault="00FC2F6C">
            <w:pPr>
              <w:rPr>
                <w:bCs/>
                <w:i/>
                <w:sz w:val="24"/>
                <w:szCs w:val="24"/>
              </w:rPr>
            </w:pPr>
            <w:r>
              <w:rPr>
                <w:bCs/>
                <w:i/>
                <w:sz w:val="24"/>
                <w:szCs w:val="24"/>
              </w:rPr>
              <w:t>Transfort/Dial-A-Ride</w:t>
            </w:r>
          </w:p>
          <w:p w:rsidR="00FC2F6C" w:rsidRDefault="00FC2F6C">
            <w:pPr>
              <w:rPr>
                <w:bCs/>
                <w:i/>
                <w:sz w:val="24"/>
                <w:szCs w:val="24"/>
              </w:rPr>
            </w:pPr>
            <w:r>
              <w:rPr>
                <w:bCs/>
                <w:i/>
                <w:sz w:val="24"/>
                <w:szCs w:val="24"/>
              </w:rPr>
              <w:t>6570 Portner Road</w:t>
            </w:r>
          </w:p>
          <w:p w:rsidR="00FC2F6C" w:rsidRDefault="00FC2F6C">
            <w:pPr>
              <w:rPr>
                <w:bCs/>
                <w:i/>
                <w:sz w:val="24"/>
                <w:szCs w:val="24"/>
              </w:rPr>
            </w:pPr>
            <w:r>
              <w:rPr>
                <w:bCs/>
                <w:i/>
                <w:sz w:val="24"/>
                <w:szCs w:val="24"/>
              </w:rPr>
              <w:t>Fort Collins CO 80525</w:t>
            </w:r>
          </w:p>
          <w:p w:rsidR="00FC2F6C" w:rsidRDefault="00FC2F6C">
            <w:pPr>
              <w:rPr>
                <w:bCs/>
                <w:i/>
                <w:sz w:val="24"/>
                <w:szCs w:val="24"/>
              </w:rPr>
            </w:pPr>
          </w:p>
        </w:tc>
        <w:tc>
          <w:tcPr>
            <w:tcW w:w="2058" w:type="dxa"/>
          </w:tcPr>
          <w:p w:rsidR="00FC2F6C" w:rsidRDefault="00FC2F6C">
            <w:pPr>
              <w:rPr>
                <w:bCs/>
                <w:i/>
                <w:sz w:val="24"/>
                <w:szCs w:val="24"/>
              </w:rPr>
            </w:pPr>
            <w:r>
              <w:rPr>
                <w:bCs/>
                <w:i/>
                <w:sz w:val="24"/>
                <w:szCs w:val="24"/>
              </w:rPr>
              <w:t>PHONE:</w:t>
            </w:r>
          </w:p>
          <w:p w:rsidR="00FC2F6C" w:rsidRDefault="00FC2F6C">
            <w:pPr>
              <w:rPr>
                <w:bCs/>
                <w:i/>
                <w:sz w:val="24"/>
                <w:szCs w:val="24"/>
              </w:rPr>
            </w:pPr>
            <w:r>
              <w:rPr>
                <w:bCs/>
                <w:i/>
                <w:sz w:val="24"/>
                <w:szCs w:val="24"/>
              </w:rPr>
              <w:t>970-221-6620</w:t>
            </w:r>
          </w:p>
          <w:p w:rsidR="00FC2F6C" w:rsidRDefault="00FC2F6C">
            <w:pPr>
              <w:rPr>
                <w:bCs/>
                <w:i/>
                <w:sz w:val="24"/>
                <w:szCs w:val="24"/>
              </w:rPr>
            </w:pPr>
          </w:p>
        </w:tc>
        <w:tc>
          <w:tcPr>
            <w:tcW w:w="1968" w:type="dxa"/>
          </w:tcPr>
          <w:p w:rsidR="00FC2F6C" w:rsidRDefault="00FC2F6C">
            <w:pPr>
              <w:rPr>
                <w:bCs/>
                <w:i/>
                <w:sz w:val="24"/>
                <w:szCs w:val="24"/>
              </w:rPr>
            </w:pPr>
            <w:r>
              <w:rPr>
                <w:bCs/>
                <w:i/>
                <w:sz w:val="24"/>
                <w:szCs w:val="24"/>
              </w:rPr>
              <w:t>FAX:</w:t>
            </w:r>
          </w:p>
          <w:p w:rsidR="00FC2F6C" w:rsidRDefault="00FC2F6C">
            <w:pPr>
              <w:rPr>
                <w:bCs/>
                <w:i/>
                <w:sz w:val="24"/>
                <w:szCs w:val="24"/>
              </w:rPr>
            </w:pPr>
            <w:r>
              <w:rPr>
                <w:bCs/>
                <w:i/>
                <w:sz w:val="24"/>
                <w:szCs w:val="24"/>
              </w:rPr>
              <w:t>970-221-6285</w:t>
            </w:r>
          </w:p>
          <w:p w:rsidR="00FC2F6C" w:rsidRDefault="00FC2F6C">
            <w:pPr>
              <w:rPr>
                <w:bCs/>
                <w:i/>
                <w:sz w:val="24"/>
                <w:szCs w:val="24"/>
              </w:rPr>
            </w:pPr>
          </w:p>
        </w:tc>
        <w:tc>
          <w:tcPr>
            <w:tcW w:w="3173" w:type="dxa"/>
          </w:tcPr>
          <w:p w:rsidR="00FC2F6C" w:rsidRDefault="00FC2F6C">
            <w:pPr>
              <w:rPr>
                <w:bCs/>
                <w:i/>
                <w:sz w:val="24"/>
                <w:szCs w:val="24"/>
              </w:rPr>
            </w:pPr>
            <w:r>
              <w:rPr>
                <w:bCs/>
                <w:i/>
                <w:sz w:val="24"/>
                <w:szCs w:val="24"/>
              </w:rPr>
              <w:t>EMAIL:</w:t>
            </w:r>
          </w:p>
          <w:p w:rsidR="00FC2F6C" w:rsidRDefault="00FC2F6C">
            <w:pPr>
              <w:rPr>
                <w:bCs/>
                <w:i/>
                <w:sz w:val="24"/>
                <w:szCs w:val="24"/>
              </w:rPr>
            </w:pPr>
            <w:r>
              <w:rPr>
                <w:bCs/>
                <w:i/>
                <w:sz w:val="24"/>
                <w:szCs w:val="24"/>
              </w:rPr>
              <w:t>TransfortInfo@fcgov.com</w:t>
            </w:r>
          </w:p>
          <w:p w:rsidR="00FC2F6C" w:rsidRDefault="00FC2F6C">
            <w:pPr>
              <w:rPr>
                <w:bCs/>
                <w:i/>
                <w:sz w:val="24"/>
                <w:szCs w:val="24"/>
              </w:rPr>
            </w:pPr>
          </w:p>
        </w:tc>
      </w:tr>
      <w:tr w:rsidR="00FC2F6C">
        <w:tc>
          <w:tcPr>
            <w:tcW w:w="2107" w:type="dxa"/>
          </w:tcPr>
          <w:p w:rsidR="00FC2F6C" w:rsidRDefault="00FC2F6C">
            <w:pPr>
              <w:rPr>
                <w:bCs/>
                <w:i/>
                <w:sz w:val="24"/>
                <w:szCs w:val="24"/>
              </w:rPr>
            </w:pPr>
            <w:r>
              <w:rPr>
                <w:bCs/>
                <w:i/>
                <w:sz w:val="24"/>
                <w:szCs w:val="24"/>
              </w:rPr>
              <w:t>TRANSIT CENTERS:</w:t>
            </w:r>
          </w:p>
          <w:p w:rsidR="00FC2F6C" w:rsidRDefault="00FC2F6C">
            <w:pPr>
              <w:rPr>
                <w:bCs/>
                <w:i/>
                <w:sz w:val="24"/>
                <w:szCs w:val="24"/>
              </w:rPr>
            </w:pPr>
          </w:p>
        </w:tc>
        <w:tc>
          <w:tcPr>
            <w:tcW w:w="7199" w:type="dxa"/>
            <w:gridSpan w:val="3"/>
          </w:tcPr>
          <w:p w:rsidR="00FC2F6C" w:rsidRDefault="00FC2F6C" w:rsidP="00FC2F6C">
            <w:pPr>
              <w:numPr>
                <w:ilvl w:val="0"/>
                <w:numId w:val="15"/>
              </w:numPr>
              <w:rPr>
                <w:bCs/>
                <w:i/>
                <w:sz w:val="24"/>
                <w:szCs w:val="24"/>
              </w:rPr>
            </w:pPr>
            <w:r>
              <w:rPr>
                <w:bCs/>
                <w:i/>
                <w:sz w:val="24"/>
                <w:szCs w:val="24"/>
              </w:rPr>
              <w:t>CSU Transit Center (CTC)- North end of Lory Student Center at CSU</w:t>
            </w:r>
          </w:p>
          <w:p w:rsidR="00FC2F6C" w:rsidRDefault="00FC2F6C" w:rsidP="00FC2F6C">
            <w:pPr>
              <w:numPr>
                <w:ilvl w:val="0"/>
                <w:numId w:val="15"/>
              </w:numPr>
              <w:rPr>
                <w:bCs/>
                <w:i/>
                <w:sz w:val="24"/>
                <w:szCs w:val="24"/>
              </w:rPr>
            </w:pPr>
            <w:r>
              <w:rPr>
                <w:bCs/>
                <w:i/>
                <w:sz w:val="24"/>
                <w:szCs w:val="24"/>
              </w:rPr>
              <w:t>Downtown Transit Center (DTC)- N. Mason Street, between Laporte &amp; Maple</w:t>
            </w:r>
          </w:p>
          <w:p w:rsidR="00FC2F6C" w:rsidRDefault="00FC2F6C" w:rsidP="00FC2F6C">
            <w:pPr>
              <w:numPr>
                <w:ilvl w:val="0"/>
                <w:numId w:val="15"/>
              </w:numPr>
              <w:rPr>
                <w:bCs/>
                <w:i/>
                <w:sz w:val="24"/>
                <w:szCs w:val="24"/>
              </w:rPr>
            </w:pPr>
            <w:r>
              <w:rPr>
                <w:bCs/>
                <w:i/>
                <w:sz w:val="24"/>
                <w:szCs w:val="24"/>
              </w:rPr>
              <w:t>South Transit Center (STC)- NE corner of The Square Shopping Center</w:t>
            </w:r>
          </w:p>
          <w:p w:rsidR="00FC2F6C" w:rsidRDefault="00FC2F6C">
            <w:pPr>
              <w:rPr>
                <w:bCs/>
                <w:i/>
                <w:sz w:val="24"/>
                <w:szCs w:val="24"/>
              </w:rPr>
            </w:pPr>
          </w:p>
        </w:tc>
      </w:tr>
    </w:tbl>
    <w:p w:rsidR="00FC2F6C" w:rsidRDefault="00FC2F6C">
      <w:pPr>
        <w:spacing w:line="360" w:lineRule="auto"/>
        <w:rPr>
          <w:sz w:val="28"/>
          <w:szCs w:val="28"/>
        </w:rPr>
      </w:pPr>
    </w:p>
    <w:p w:rsidR="00FC2F6C" w:rsidRDefault="00FC2F6C">
      <w:pPr>
        <w:spacing w:line="360" w:lineRule="auto"/>
        <w:rPr>
          <w:sz w:val="28"/>
          <w:szCs w:val="28"/>
        </w:rPr>
      </w:pPr>
      <w:r>
        <w:rPr>
          <w:sz w:val="28"/>
          <w:szCs w:val="28"/>
        </w:rPr>
        <w:t xml:space="preserve">  </w:t>
      </w:r>
    </w:p>
    <w:p w:rsidR="00FC2F6C" w:rsidRDefault="00FC2F6C">
      <w:pPr>
        <w:pStyle w:val="BHLevel2"/>
      </w:pPr>
      <w:bookmarkStart w:id="18" w:name="_Toc201633547"/>
      <w:r>
        <w:t>Annual Title VI Certification and Assurance</w:t>
      </w:r>
      <w:bookmarkEnd w:id="18"/>
    </w:p>
    <w:p w:rsidR="00FC2F6C" w:rsidRDefault="00FC2F6C">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C2F6C" w:rsidRDefault="00FC2F6C">
      <w:pPr>
        <w:spacing w:line="360" w:lineRule="auto"/>
        <w:rPr>
          <w:sz w:val="28"/>
          <w:szCs w:val="28"/>
        </w:rPr>
      </w:pPr>
    </w:p>
    <w:p w:rsidR="00FC2F6C" w:rsidRDefault="00FC2F6C">
      <w:pPr>
        <w:spacing w:line="360" w:lineRule="auto"/>
        <w:rPr>
          <w:color w:val="0000FF"/>
          <w:sz w:val="28"/>
          <w:szCs w:val="28"/>
        </w:rPr>
      </w:pPr>
      <w:r>
        <w:rPr>
          <w:b/>
          <w:sz w:val="28"/>
          <w:szCs w:val="28"/>
        </w:rPr>
        <w:t>Findings:</w:t>
      </w:r>
      <w:r>
        <w:rPr>
          <w:sz w:val="28"/>
          <w:szCs w:val="28"/>
        </w:rPr>
        <w:t xml:space="preserve"> During this Title VI Compliance Review of Transfort, no deficiencies were found regarding Transfort’s compliance with FTA requirements for Annual Title VI Certification and Assurance.  The FTA Civil Rights Assurance is incorporated in the Annual Certifications and Assurances submitted annually to FTA through the Transportation Electronic Award and Management (TEAM) system.  Transfort executed its FY 2009 Annual Certifications and Assurances in TEAM on November 6, 2008. Transfort checked as applicable, </w:t>
      </w:r>
      <w:r>
        <w:rPr>
          <w:i/>
          <w:sz w:val="28"/>
          <w:szCs w:val="28"/>
        </w:rPr>
        <w:t xml:space="preserve">01 Assurances </w:t>
      </w:r>
      <w:r>
        <w:rPr>
          <w:i/>
          <w:sz w:val="28"/>
          <w:szCs w:val="28"/>
        </w:rPr>
        <w:lastRenderedPageBreak/>
        <w:t>Required For Each Applicant.</w:t>
      </w:r>
      <w:r>
        <w:rPr>
          <w:sz w:val="28"/>
          <w:szCs w:val="28"/>
        </w:rPr>
        <w:t xml:space="preserve">  This is the category where the nondiscrimination assurance is located.  </w:t>
      </w:r>
    </w:p>
    <w:p w:rsidR="00FC2F6C" w:rsidRDefault="00FC2F6C">
      <w:pPr>
        <w:spacing w:line="360" w:lineRule="auto"/>
        <w:rPr>
          <w:sz w:val="28"/>
          <w:szCs w:val="28"/>
        </w:rPr>
      </w:pPr>
    </w:p>
    <w:p w:rsidR="00FC2F6C" w:rsidRDefault="00FC2F6C">
      <w:pPr>
        <w:pStyle w:val="BHLevel2"/>
      </w:pPr>
      <w:bookmarkStart w:id="19" w:name="_Toc201633548"/>
      <w:r>
        <w:t>Environmental Justice Analysis of Construction Projects</w:t>
      </w:r>
      <w:bookmarkEnd w:id="19"/>
    </w:p>
    <w:p w:rsidR="00FC2F6C" w:rsidRDefault="00FC2F6C">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C2F6C" w:rsidRDefault="00FC2F6C">
      <w:pPr>
        <w:spacing w:line="360" w:lineRule="auto"/>
        <w:rPr>
          <w:sz w:val="28"/>
          <w:szCs w:val="28"/>
        </w:rPr>
      </w:pPr>
    </w:p>
    <w:p w:rsidR="00865721" w:rsidRDefault="00FC2F6C">
      <w:pPr>
        <w:spacing w:line="360" w:lineRule="auto"/>
        <w:rPr>
          <w:sz w:val="28"/>
          <w:szCs w:val="28"/>
        </w:rPr>
      </w:pPr>
      <w:r>
        <w:rPr>
          <w:b/>
          <w:sz w:val="28"/>
          <w:szCs w:val="28"/>
        </w:rPr>
        <w:t>Findings:</w:t>
      </w:r>
      <w:r>
        <w:rPr>
          <w:sz w:val="28"/>
          <w:szCs w:val="28"/>
        </w:rPr>
        <w:t xml:space="preserve"> During this Title VI Compliance Review of Transfort, deficiencies were found regarding Transfort’s compliance with FTA guidance for Environmental Justice (EJ) Analyses of Construction Projects.  During the site visit, Transfort provided its Environmental Assessment (EA) prepared for the Mason Corridor Project entitled “Mason Express Bus Rapid Transit, Environmental Assessment”.  In the Report, under Section 3.4 </w:t>
      </w:r>
      <w:r>
        <w:rPr>
          <w:i/>
          <w:sz w:val="28"/>
          <w:szCs w:val="28"/>
        </w:rPr>
        <w:t xml:space="preserve">Affected Environment, </w:t>
      </w:r>
      <w:r>
        <w:rPr>
          <w:sz w:val="28"/>
          <w:szCs w:val="28"/>
        </w:rPr>
        <w:t xml:space="preserve">there was an “Environmental Justice Analysis for the Minority and Low-Income Populations”.  </w:t>
      </w:r>
      <w:r w:rsidR="00865721">
        <w:rPr>
          <w:sz w:val="28"/>
          <w:szCs w:val="28"/>
        </w:rPr>
        <w:t>As shown in the following table, this analysis did not include most of the elements required in FTA Circular 4702.1A.</w:t>
      </w:r>
    </w:p>
    <w:p w:rsidR="00865721" w:rsidRDefault="00865721">
      <w:pPr>
        <w:spacing w:line="360" w:lineRule="auto"/>
        <w:rPr>
          <w:sz w:val="28"/>
          <w:szCs w:val="28"/>
        </w:rPr>
      </w:pPr>
    </w:p>
    <w:p w:rsidR="00865721" w:rsidRDefault="00865721">
      <w:pPr>
        <w:spacing w:line="360" w:lineRule="auto"/>
        <w:rPr>
          <w:sz w:val="28"/>
          <w:szCs w:val="28"/>
        </w:rPr>
      </w:pPr>
      <w:r>
        <w:rPr>
          <w:sz w:val="28"/>
          <w:szCs w:val="28"/>
        </w:rPr>
        <w:t>Following the issuance of the draft report, Transfort submitted a technical memorandum, dated February 11, 2010</w:t>
      </w:r>
      <w:r w:rsidR="00D14D97">
        <w:rPr>
          <w:sz w:val="28"/>
          <w:szCs w:val="28"/>
        </w:rPr>
        <w:t>,</w:t>
      </w:r>
      <w:r>
        <w:rPr>
          <w:sz w:val="28"/>
          <w:szCs w:val="28"/>
        </w:rPr>
        <w:t xml:space="preserve"> and entitled </w:t>
      </w:r>
      <w:r w:rsidRPr="00865721">
        <w:rPr>
          <w:i/>
          <w:sz w:val="28"/>
          <w:szCs w:val="28"/>
        </w:rPr>
        <w:t>Mason Corridor-Environmental Justice Compliance</w:t>
      </w:r>
      <w:r w:rsidR="00D14D97">
        <w:rPr>
          <w:sz w:val="28"/>
          <w:szCs w:val="28"/>
        </w:rPr>
        <w:t>.  This memo incorporated</w:t>
      </w:r>
      <w:r>
        <w:rPr>
          <w:sz w:val="28"/>
          <w:szCs w:val="28"/>
        </w:rPr>
        <w:t xml:space="preserve"> data from the July 2008 Environmental Assessment and included additional research to document compliance with the aforementioned Circular.  The</w:t>
      </w:r>
      <w:r w:rsidR="00D14D97">
        <w:rPr>
          <w:sz w:val="28"/>
          <w:szCs w:val="28"/>
        </w:rPr>
        <w:t xml:space="preserve"> following </w:t>
      </w:r>
      <w:r>
        <w:rPr>
          <w:sz w:val="28"/>
          <w:szCs w:val="28"/>
        </w:rPr>
        <w:t>table shows that the 2010 document is adequate to meet FTA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25"/>
        <w:gridCol w:w="1800"/>
        <w:gridCol w:w="1781"/>
      </w:tblGrid>
      <w:tr w:rsidR="002A2B20" w:rsidTr="002A2B20">
        <w:trPr>
          <w:tblHeader/>
        </w:trPr>
        <w:tc>
          <w:tcPr>
            <w:tcW w:w="5725" w:type="dxa"/>
          </w:tcPr>
          <w:p w:rsidR="002A2B20" w:rsidRDefault="002A2B20">
            <w:pPr>
              <w:rPr>
                <w:b/>
                <w:bCs/>
                <w:sz w:val="24"/>
                <w:szCs w:val="28"/>
              </w:rPr>
            </w:pPr>
            <w:r>
              <w:rPr>
                <w:b/>
                <w:bCs/>
                <w:sz w:val="28"/>
                <w:szCs w:val="28"/>
              </w:rPr>
              <w:lastRenderedPageBreak/>
              <w:br w:type="page"/>
            </w:r>
            <w:r>
              <w:rPr>
                <w:b/>
                <w:bCs/>
                <w:sz w:val="24"/>
                <w:szCs w:val="28"/>
              </w:rPr>
              <w:t>Elements Required in Title VI Notification</w:t>
            </w:r>
          </w:p>
          <w:p w:rsidR="002A2B20" w:rsidRDefault="002A2B20">
            <w:pPr>
              <w:rPr>
                <w:b/>
                <w:bCs/>
                <w:sz w:val="22"/>
                <w:szCs w:val="28"/>
              </w:rPr>
            </w:pPr>
            <w:r>
              <w:rPr>
                <w:b/>
                <w:bCs/>
                <w:sz w:val="22"/>
                <w:szCs w:val="28"/>
              </w:rPr>
              <w:t>(Per FTA Circular 4702.1A Chapter IV Section 8)</w:t>
            </w:r>
          </w:p>
        </w:tc>
        <w:tc>
          <w:tcPr>
            <w:tcW w:w="1800" w:type="dxa"/>
          </w:tcPr>
          <w:p w:rsidR="002A2B20" w:rsidRDefault="002A2B20" w:rsidP="002A2B20">
            <w:pPr>
              <w:jc w:val="center"/>
              <w:rPr>
                <w:b/>
                <w:bCs/>
                <w:sz w:val="24"/>
                <w:szCs w:val="28"/>
              </w:rPr>
            </w:pPr>
            <w:r>
              <w:rPr>
                <w:b/>
                <w:bCs/>
                <w:sz w:val="24"/>
                <w:szCs w:val="28"/>
              </w:rPr>
              <w:t xml:space="preserve">Included in </w:t>
            </w:r>
            <w:r w:rsidR="00865721">
              <w:rPr>
                <w:b/>
                <w:bCs/>
                <w:sz w:val="24"/>
                <w:szCs w:val="28"/>
              </w:rPr>
              <w:t xml:space="preserve">2008 </w:t>
            </w:r>
            <w:r>
              <w:rPr>
                <w:b/>
                <w:bCs/>
                <w:sz w:val="24"/>
                <w:szCs w:val="28"/>
              </w:rPr>
              <w:t>Mason Corridor EA?</w:t>
            </w:r>
          </w:p>
        </w:tc>
        <w:tc>
          <w:tcPr>
            <w:tcW w:w="1781" w:type="dxa"/>
          </w:tcPr>
          <w:p w:rsidR="002A2B20" w:rsidRDefault="002A2B20" w:rsidP="00D4442A">
            <w:pPr>
              <w:jc w:val="center"/>
              <w:rPr>
                <w:b/>
                <w:bCs/>
                <w:sz w:val="24"/>
                <w:szCs w:val="28"/>
              </w:rPr>
            </w:pPr>
            <w:r>
              <w:rPr>
                <w:b/>
                <w:bCs/>
                <w:sz w:val="24"/>
                <w:szCs w:val="28"/>
              </w:rPr>
              <w:t>Included in 2/11/2010</w:t>
            </w:r>
          </w:p>
          <w:p w:rsidR="002A2B20" w:rsidRDefault="002A2B20" w:rsidP="00D4442A">
            <w:pPr>
              <w:jc w:val="center"/>
              <w:rPr>
                <w:b/>
                <w:bCs/>
                <w:sz w:val="24"/>
                <w:szCs w:val="28"/>
              </w:rPr>
            </w:pPr>
            <w:r>
              <w:rPr>
                <w:b/>
                <w:bCs/>
                <w:sz w:val="24"/>
                <w:szCs w:val="28"/>
              </w:rPr>
              <w:t>EJ Analysis?</w:t>
            </w:r>
          </w:p>
        </w:tc>
      </w:tr>
      <w:tr w:rsidR="002A2B20" w:rsidTr="002A2B20">
        <w:tc>
          <w:tcPr>
            <w:tcW w:w="5725" w:type="dxa"/>
          </w:tcPr>
          <w:p w:rsidR="002A2B20" w:rsidRDefault="002A2B20">
            <w:pPr>
              <w:rPr>
                <w:sz w:val="22"/>
                <w:szCs w:val="22"/>
              </w:rPr>
            </w:pPr>
            <w:r>
              <w:rPr>
                <w:sz w:val="22"/>
                <w:szCs w:val="22"/>
              </w:rPr>
              <w:t>A description of the low-income and minority population within the study area affected by the project, and a discussion of the method used to identify this population</w:t>
            </w:r>
          </w:p>
        </w:tc>
        <w:tc>
          <w:tcPr>
            <w:tcW w:w="1800" w:type="dxa"/>
            <w:tcBorders>
              <w:bottom w:val="single" w:sz="4" w:space="0" w:color="000000"/>
            </w:tcBorders>
          </w:tcPr>
          <w:p w:rsidR="002A2B20" w:rsidRDefault="002A2B20">
            <w:pPr>
              <w:jc w:val="center"/>
              <w:rPr>
                <w:sz w:val="22"/>
                <w:szCs w:val="28"/>
              </w:rPr>
            </w:pPr>
            <w:r>
              <w:rPr>
                <w:sz w:val="22"/>
                <w:szCs w:val="28"/>
              </w:rPr>
              <w:t>Yes</w:t>
            </w:r>
          </w:p>
        </w:tc>
        <w:tc>
          <w:tcPr>
            <w:tcW w:w="1781" w:type="dxa"/>
            <w:tcBorders>
              <w:bottom w:val="single" w:sz="4" w:space="0" w:color="000000"/>
            </w:tcBorders>
          </w:tcPr>
          <w:p w:rsidR="002A2B20" w:rsidRDefault="002A2B20">
            <w:pPr>
              <w:jc w:val="center"/>
              <w:rPr>
                <w:sz w:val="22"/>
                <w:szCs w:val="28"/>
              </w:rPr>
            </w:pPr>
            <w:r>
              <w:rPr>
                <w:sz w:val="22"/>
                <w:szCs w:val="28"/>
              </w:rPr>
              <w:t>Yes</w:t>
            </w:r>
          </w:p>
        </w:tc>
      </w:tr>
      <w:tr w:rsidR="002A2B20" w:rsidTr="002A2B20">
        <w:trPr>
          <w:trHeight w:val="899"/>
        </w:trPr>
        <w:tc>
          <w:tcPr>
            <w:tcW w:w="5725" w:type="dxa"/>
          </w:tcPr>
          <w:p w:rsidR="002A2B20" w:rsidRPr="002A2B20" w:rsidRDefault="002A2B20">
            <w:pPr>
              <w:pStyle w:val="Outlinea"/>
              <w:numPr>
                <w:ilvl w:val="1"/>
                <w:numId w:val="0"/>
              </w:numPr>
              <w:tabs>
                <w:tab w:val="num" w:pos="720"/>
              </w:tabs>
              <w:rPr>
                <w:sz w:val="22"/>
                <w:szCs w:val="22"/>
              </w:rPr>
            </w:pPr>
            <w:r w:rsidRPr="002A2B20">
              <w:rPr>
                <w:sz w:val="22"/>
                <w:szCs w:val="22"/>
              </w:rPr>
              <w:t>A discussion of all adverse effects of the project both during and after construction that would affect the identified minority and low-income population.</w:t>
            </w:r>
          </w:p>
        </w:tc>
        <w:tc>
          <w:tcPr>
            <w:tcW w:w="1800" w:type="dxa"/>
          </w:tcPr>
          <w:p w:rsidR="002A2B20" w:rsidRPr="00D4442A" w:rsidRDefault="002A2B20">
            <w:pPr>
              <w:jc w:val="center"/>
              <w:rPr>
                <w:b/>
                <w:sz w:val="22"/>
                <w:szCs w:val="28"/>
              </w:rPr>
            </w:pPr>
            <w:r w:rsidRPr="00D4442A">
              <w:rPr>
                <w:b/>
                <w:sz w:val="22"/>
                <w:szCs w:val="28"/>
              </w:rPr>
              <w:t>No</w:t>
            </w:r>
          </w:p>
        </w:tc>
        <w:tc>
          <w:tcPr>
            <w:tcW w:w="1781" w:type="dxa"/>
          </w:tcPr>
          <w:p w:rsidR="002A2B20" w:rsidRPr="00865721" w:rsidRDefault="002A2B20">
            <w:pPr>
              <w:jc w:val="center"/>
              <w:rPr>
                <w:sz w:val="22"/>
                <w:szCs w:val="28"/>
              </w:rPr>
            </w:pPr>
            <w:r w:rsidRPr="00865721">
              <w:rPr>
                <w:sz w:val="22"/>
                <w:szCs w:val="28"/>
              </w:rPr>
              <w:t>Yes</w:t>
            </w:r>
          </w:p>
        </w:tc>
      </w:tr>
      <w:tr w:rsidR="002A2B20" w:rsidTr="002A2B20">
        <w:tc>
          <w:tcPr>
            <w:tcW w:w="5725" w:type="dxa"/>
          </w:tcPr>
          <w:p w:rsidR="002A2B20" w:rsidRDefault="002A2B20">
            <w:pPr>
              <w:rPr>
                <w:sz w:val="22"/>
                <w:szCs w:val="22"/>
              </w:rPr>
            </w:pPr>
            <w:r>
              <w:rPr>
                <w:sz w:val="22"/>
                <w:szCs w:val="22"/>
              </w:rPr>
              <w:t>A discussion of all positive effects that would affect the identified minority and low-income population, such as an improvement in transit service, mobility, or accessibility.</w:t>
            </w:r>
          </w:p>
        </w:tc>
        <w:tc>
          <w:tcPr>
            <w:tcW w:w="1800" w:type="dxa"/>
          </w:tcPr>
          <w:p w:rsidR="002A2B20" w:rsidRPr="00D4442A" w:rsidRDefault="002A2B20">
            <w:pPr>
              <w:jc w:val="center"/>
              <w:rPr>
                <w:b/>
                <w:sz w:val="22"/>
                <w:szCs w:val="28"/>
              </w:rPr>
            </w:pPr>
            <w:r w:rsidRPr="00D4442A">
              <w:rPr>
                <w:b/>
                <w:sz w:val="22"/>
                <w:szCs w:val="28"/>
              </w:rPr>
              <w:t>No</w:t>
            </w:r>
          </w:p>
        </w:tc>
        <w:tc>
          <w:tcPr>
            <w:tcW w:w="1781" w:type="dxa"/>
          </w:tcPr>
          <w:p w:rsidR="002A2B20" w:rsidRPr="00865721" w:rsidRDefault="002A2B20">
            <w:pPr>
              <w:jc w:val="center"/>
              <w:rPr>
                <w:sz w:val="22"/>
                <w:szCs w:val="28"/>
              </w:rPr>
            </w:pPr>
            <w:r w:rsidRPr="00865721">
              <w:rPr>
                <w:sz w:val="22"/>
                <w:szCs w:val="28"/>
              </w:rPr>
              <w:t>Yes</w:t>
            </w:r>
          </w:p>
        </w:tc>
      </w:tr>
      <w:tr w:rsidR="002A2B20" w:rsidTr="002A2B20">
        <w:tc>
          <w:tcPr>
            <w:tcW w:w="5725" w:type="dxa"/>
          </w:tcPr>
          <w:p w:rsidR="002A2B20" w:rsidRDefault="002A2B20">
            <w:p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c>
          <w:tcPr>
            <w:tcW w:w="1800" w:type="dxa"/>
          </w:tcPr>
          <w:p w:rsidR="002A2B20" w:rsidRPr="00D4442A" w:rsidRDefault="002A2B20">
            <w:pPr>
              <w:jc w:val="center"/>
              <w:rPr>
                <w:b/>
                <w:sz w:val="22"/>
                <w:szCs w:val="28"/>
              </w:rPr>
            </w:pPr>
            <w:r w:rsidRPr="00D4442A">
              <w:rPr>
                <w:b/>
                <w:sz w:val="22"/>
                <w:szCs w:val="28"/>
              </w:rPr>
              <w:t>No</w:t>
            </w:r>
          </w:p>
        </w:tc>
        <w:tc>
          <w:tcPr>
            <w:tcW w:w="1781" w:type="dxa"/>
          </w:tcPr>
          <w:p w:rsidR="002A2B20" w:rsidRPr="00865721" w:rsidRDefault="002A2B20">
            <w:pPr>
              <w:jc w:val="center"/>
              <w:rPr>
                <w:sz w:val="22"/>
                <w:szCs w:val="28"/>
              </w:rPr>
            </w:pPr>
            <w:r w:rsidRPr="00865721">
              <w:rPr>
                <w:sz w:val="22"/>
                <w:szCs w:val="28"/>
              </w:rPr>
              <w:t>Yes</w:t>
            </w:r>
          </w:p>
        </w:tc>
      </w:tr>
      <w:tr w:rsidR="002A2B20" w:rsidTr="002A2B20">
        <w:tc>
          <w:tcPr>
            <w:tcW w:w="5725" w:type="dxa"/>
          </w:tcPr>
          <w:p w:rsidR="002A2B20" w:rsidRDefault="002A2B20">
            <w:pPr>
              <w:rPr>
                <w:sz w:val="22"/>
                <w:szCs w:val="22"/>
              </w:rPr>
            </w:pPr>
            <w:r>
              <w:rPr>
                <w:sz w:val="22"/>
                <w:szCs w:val="22"/>
              </w:rPr>
              <w:t>A discussion of the remaining effects, if any, and why further mitigation is not proposed.</w:t>
            </w:r>
          </w:p>
        </w:tc>
        <w:tc>
          <w:tcPr>
            <w:tcW w:w="1800" w:type="dxa"/>
          </w:tcPr>
          <w:p w:rsidR="002A2B20" w:rsidRPr="00D4442A" w:rsidRDefault="002A2B20">
            <w:pPr>
              <w:jc w:val="center"/>
              <w:rPr>
                <w:b/>
                <w:sz w:val="22"/>
                <w:szCs w:val="28"/>
              </w:rPr>
            </w:pPr>
            <w:r w:rsidRPr="00D4442A">
              <w:rPr>
                <w:b/>
                <w:sz w:val="22"/>
                <w:szCs w:val="28"/>
              </w:rPr>
              <w:t>No</w:t>
            </w:r>
          </w:p>
        </w:tc>
        <w:tc>
          <w:tcPr>
            <w:tcW w:w="1781" w:type="dxa"/>
          </w:tcPr>
          <w:p w:rsidR="002A2B20" w:rsidRPr="00865721" w:rsidRDefault="00865721">
            <w:pPr>
              <w:jc w:val="center"/>
              <w:rPr>
                <w:sz w:val="22"/>
                <w:szCs w:val="28"/>
              </w:rPr>
            </w:pPr>
            <w:r w:rsidRPr="00865721">
              <w:rPr>
                <w:sz w:val="22"/>
                <w:szCs w:val="28"/>
              </w:rPr>
              <w:t>Yes</w:t>
            </w:r>
          </w:p>
        </w:tc>
      </w:tr>
      <w:tr w:rsidR="002A2B20" w:rsidTr="002A2B20">
        <w:tc>
          <w:tcPr>
            <w:tcW w:w="5725" w:type="dxa"/>
          </w:tcPr>
          <w:p w:rsidR="002A2B20" w:rsidRDefault="002A2B20">
            <w:p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c>
          <w:tcPr>
            <w:tcW w:w="1800" w:type="dxa"/>
          </w:tcPr>
          <w:p w:rsidR="002A2B20" w:rsidRPr="00D4442A" w:rsidRDefault="002A2B20">
            <w:pPr>
              <w:jc w:val="center"/>
              <w:rPr>
                <w:b/>
                <w:sz w:val="22"/>
                <w:szCs w:val="28"/>
              </w:rPr>
            </w:pPr>
            <w:r w:rsidRPr="00D4442A">
              <w:rPr>
                <w:b/>
                <w:sz w:val="22"/>
                <w:szCs w:val="28"/>
              </w:rPr>
              <w:t>No</w:t>
            </w:r>
          </w:p>
        </w:tc>
        <w:tc>
          <w:tcPr>
            <w:tcW w:w="1781" w:type="dxa"/>
          </w:tcPr>
          <w:p w:rsidR="002A2B20" w:rsidRPr="00865721" w:rsidRDefault="00865721">
            <w:pPr>
              <w:jc w:val="center"/>
              <w:rPr>
                <w:sz w:val="22"/>
                <w:szCs w:val="28"/>
              </w:rPr>
            </w:pPr>
            <w:r w:rsidRPr="00865721">
              <w:rPr>
                <w:sz w:val="22"/>
                <w:szCs w:val="28"/>
              </w:rPr>
              <w:t>Yes</w:t>
            </w:r>
          </w:p>
        </w:tc>
      </w:tr>
    </w:tbl>
    <w:p w:rsidR="00FC2F6C" w:rsidRDefault="00FC2F6C">
      <w:pPr>
        <w:spacing w:line="360" w:lineRule="auto"/>
        <w:rPr>
          <w:sz w:val="28"/>
          <w:szCs w:val="28"/>
        </w:rPr>
      </w:pPr>
    </w:p>
    <w:p w:rsidR="00FC2F6C" w:rsidRPr="00865721" w:rsidRDefault="00865721">
      <w:pPr>
        <w:spacing w:line="360" w:lineRule="auto"/>
        <w:rPr>
          <w:sz w:val="28"/>
          <w:szCs w:val="28"/>
        </w:rPr>
      </w:pPr>
      <w:r w:rsidRPr="00865721">
        <w:rPr>
          <w:sz w:val="28"/>
          <w:szCs w:val="28"/>
        </w:rPr>
        <w:t>T</w:t>
      </w:r>
      <w:r w:rsidR="009E14F4">
        <w:rPr>
          <w:sz w:val="28"/>
          <w:szCs w:val="28"/>
        </w:rPr>
        <w:t>he deficiency</w:t>
      </w:r>
      <w:r w:rsidRPr="00865721">
        <w:rPr>
          <w:sz w:val="28"/>
          <w:szCs w:val="28"/>
        </w:rPr>
        <w:t xml:space="preserve"> in this area </w:t>
      </w:r>
      <w:r w:rsidR="009E14F4">
        <w:rPr>
          <w:sz w:val="28"/>
          <w:szCs w:val="28"/>
        </w:rPr>
        <w:t>is</w:t>
      </w:r>
      <w:r w:rsidRPr="00865721">
        <w:rPr>
          <w:sz w:val="28"/>
          <w:szCs w:val="28"/>
        </w:rPr>
        <w:t xml:space="preserve"> now closed.</w:t>
      </w:r>
    </w:p>
    <w:p w:rsidR="00FC2F6C" w:rsidRDefault="00FC2F6C">
      <w:pPr>
        <w:spacing w:line="360" w:lineRule="auto"/>
        <w:rPr>
          <w:sz w:val="28"/>
          <w:szCs w:val="28"/>
        </w:rPr>
      </w:pPr>
    </w:p>
    <w:p w:rsidR="00FC2F6C" w:rsidRDefault="00FC2F6C">
      <w:pPr>
        <w:pStyle w:val="BHLevel2"/>
      </w:pPr>
      <w:bookmarkStart w:id="20" w:name="_Toc201633549"/>
      <w:r>
        <w:t>Submit Title VI Program.</w:t>
      </w:r>
      <w:bookmarkEnd w:id="20"/>
    </w:p>
    <w:p w:rsidR="00FC2F6C" w:rsidRDefault="00FC2F6C">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FC2F6C" w:rsidRDefault="00FC2F6C">
      <w:pPr>
        <w:spacing w:line="360" w:lineRule="auto"/>
        <w:rPr>
          <w:sz w:val="28"/>
          <w:szCs w:val="28"/>
        </w:rPr>
      </w:pPr>
    </w:p>
    <w:p w:rsidR="00FC2F6C" w:rsidRDefault="00FC2F6C">
      <w:pPr>
        <w:spacing w:line="360" w:lineRule="auto"/>
        <w:rPr>
          <w:sz w:val="28"/>
          <w:szCs w:val="28"/>
        </w:rPr>
      </w:pPr>
      <w:r>
        <w:rPr>
          <w:b/>
          <w:sz w:val="28"/>
          <w:szCs w:val="28"/>
        </w:rPr>
        <w:t>Findings:</w:t>
      </w:r>
      <w:r>
        <w:rPr>
          <w:sz w:val="28"/>
          <w:szCs w:val="28"/>
        </w:rPr>
        <w:t xml:space="preserve"> During this Title VI Compliance Review of Transfort, no deficiencies were found regarding Transfort’s compliance with FTA requirements to Submit </w:t>
      </w:r>
      <w:r>
        <w:rPr>
          <w:sz w:val="28"/>
          <w:szCs w:val="28"/>
        </w:rPr>
        <w:lastRenderedPageBreak/>
        <w:t xml:space="preserve">Title VI Program.  The region’s metropolitan planning organization (MPO), the North Front Range MPO, submitted on behalf of Transfort the most recent Title VI Program Report to FTA on April 17, 2007 in the format described in the previous FTA Circular 4702.1.  FTA approved the submittal on September 4, 2007.  During the site visit, it was determined the Transfort Title VI Program submittal addressed all the elements required by that Circular.  Transfort was advised that its next Title VI Program Update, due to FTA on August 1, 2010, must address both the General Requirements and Guidelines and the Program-Specific Requirements and Guidelines for Recipients Serving Large Urbanized Areas of FTA C 4702.1A.  </w:t>
      </w:r>
    </w:p>
    <w:p w:rsidR="00FC2F6C" w:rsidRDefault="00FC2F6C">
      <w:pPr>
        <w:spacing w:line="360" w:lineRule="auto"/>
        <w:rPr>
          <w:sz w:val="28"/>
          <w:szCs w:val="28"/>
        </w:rPr>
      </w:pPr>
    </w:p>
    <w:p w:rsidR="00FC2F6C" w:rsidRDefault="00FC2F6C">
      <w:pPr>
        <w:pStyle w:val="BHLevel2"/>
      </w:pPr>
      <w:bookmarkStart w:id="21" w:name="_Toc201633550"/>
      <w:r>
        <w:t>Demographic Data</w:t>
      </w:r>
      <w:bookmarkEnd w:id="21"/>
    </w:p>
    <w:p w:rsidR="00FC2F6C" w:rsidRDefault="00FC2F6C">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FC2F6C" w:rsidRDefault="00FC2F6C">
      <w:pPr>
        <w:spacing w:line="360" w:lineRule="auto"/>
        <w:rPr>
          <w:b/>
          <w:sz w:val="28"/>
          <w:szCs w:val="28"/>
        </w:rPr>
      </w:pPr>
    </w:p>
    <w:p w:rsidR="00FC2F6C" w:rsidRDefault="00FC2F6C">
      <w:pPr>
        <w:spacing w:line="360" w:lineRule="auto"/>
        <w:rPr>
          <w:sz w:val="28"/>
          <w:szCs w:val="28"/>
        </w:rPr>
      </w:pPr>
      <w:r>
        <w:rPr>
          <w:b/>
          <w:sz w:val="28"/>
          <w:szCs w:val="28"/>
        </w:rPr>
        <w:t>Findings:</w:t>
      </w:r>
      <w:r>
        <w:rPr>
          <w:sz w:val="28"/>
          <w:szCs w:val="28"/>
        </w:rPr>
        <w:t xml:space="preserve"> During this Title VI Compliance Review of Transfort, no deficiencies were found regarding Transfort’s compliance with FTA requirements for Demographic Data.  As part of its 2007 Title VI submittal, Transfort provided all of demographic data required by the Circular.      </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Transfort’s submittal contained the following elements, which were consistent with the requirements of the new Circular: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FC2F6C">
        <w:trPr>
          <w:trHeight w:val="561"/>
          <w:tblHeader/>
        </w:trPr>
        <w:tc>
          <w:tcPr>
            <w:tcW w:w="6678" w:type="dxa"/>
            <w:tcBorders>
              <w:bottom w:val="single" w:sz="4" w:space="0" w:color="000000"/>
            </w:tcBorders>
          </w:tcPr>
          <w:p w:rsidR="00FC2F6C" w:rsidRDefault="00FC2F6C">
            <w:pPr>
              <w:rPr>
                <w:b/>
                <w:bCs/>
                <w:sz w:val="24"/>
                <w:szCs w:val="28"/>
              </w:rPr>
            </w:pPr>
            <w:r>
              <w:rPr>
                <w:b/>
                <w:bCs/>
                <w:sz w:val="24"/>
                <w:szCs w:val="28"/>
              </w:rPr>
              <w:t>Elements Required for Demographic Data</w:t>
            </w:r>
          </w:p>
          <w:p w:rsidR="00FC2F6C" w:rsidRDefault="00FC2F6C">
            <w:pPr>
              <w:rPr>
                <w:b/>
                <w:bCs/>
                <w:sz w:val="24"/>
                <w:szCs w:val="28"/>
              </w:rPr>
            </w:pPr>
            <w:r>
              <w:rPr>
                <w:b/>
                <w:bCs/>
                <w:sz w:val="24"/>
                <w:szCs w:val="28"/>
              </w:rPr>
              <w:t>(Per FTA C. 4702.1A, V, 1. a.)</w:t>
            </w:r>
          </w:p>
        </w:tc>
        <w:tc>
          <w:tcPr>
            <w:tcW w:w="2628" w:type="dxa"/>
            <w:tcBorders>
              <w:bottom w:val="single" w:sz="4" w:space="0" w:color="000000"/>
            </w:tcBorders>
          </w:tcPr>
          <w:p w:rsidR="00FC2F6C" w:rsidRDefault="00FC2F6C">
            <w:pPr>
              <w:jc w:val="center"/>
              <w:rPr>
                <w:b/>
                <w:bCs/>
                <w:sz w:val="24"/>
                <w:szCs w:val="28"/>
              </w:rPr>
            </w:pPr>
            <w:r>
              <w:rPr>
                <w:b/>
                <w:bCs/>
                <w:sz w:val="24"/>
                <w:szCs w:val="28"/>
              </w:rPr>
              <w:t>Included in Transfort’s</w:t>
            </w:r>
          </w:p>
          <w:p w:rsidR="00FC2F6C" w:rsidRDefault="00FC2F6C">
            <w:pPr>
              <w:jc w:val="center"/>
              <w:rPr>
                <w:b/>
                <w:bCs/>
                <w:sz w:val="24"/>
                <w:szCs w:val="28"/>
              </w:rPr>
            </w:pPr>
            <w:r>
              <w:rPr>
                <w:b/>
                <w:bCs/>
                <w:sz w:val="24"/>
                <w:szCs w:val="28"/>
              </w:rPr>
              <w:t>Title VI Submittals?</w:t>
            </w:r>
          </w:p>
        </w:tc>
      </w:tr>
      <w:tr w:rsidR="00FC2F6C">
        <w:tc>
          <w:tcPr>
            <w:tcW w:w="6678" w:type="dxa"/>
          </w:tcPr>
          <w:p w:rsidR="00FC2F6C" w:rsidRDefault="00FC2F6C">
            <w:pPr>
              <w:rPr>
                <w:sz w:val="22"/>
                <w:szCs w:val="28"/>
              </w:rPr>
            </w:pPr>
            <w:r>
              <w:rPr>
                <w:sz w:val="22"/>
                <w:szCs w:val="28"/>
              </w:rPr>
              <w:t xml:space="preserve">A base map of the agency’s service area that includes each census tract or traffic analysis zone (TAZ), major streets, etc., fixed transit facilities and major activity centers.   The map should also highlight those transit facilities that were recently modernized or are scheduled for </w:t>
            </w:r>
            <w:r>
              <w:rPr>
                <w:sz w:val="22"/>
                <w:szCs w:val="28"/>
              </w:rPr>
              <w:lastRenderedPageBreak/>
              <w:t>modernization in the next five years.</w:t>
            </w:r>
          </w:p>
        </w:tc>
        <w:tc>
          <w:tcPr>
            <w:tcW w:w="2628" w:type="dxa"/>
          </w:tcPr>
          <w:p w:rsidR="00FC2F6C" w:rsidRDefault="00FC2F6C">
            <w:pPr>
              <w:jc w:val="center"/>
              <w:rPr>
                <w:sz w:val="22"/>
                <w:szCs w:val="28"/>
              </w:rPr>
            </w:pPr>
            <w:r>
              <w:rPr>
                <w:sz w:val="22"/>
                <w:szCs w:val="28"/>
              </w:rPr>
              <w:lastRenderedPageBreak/>
              <w:t>Yes</w:t>
            </w:r>
          </w:p>
        </w:tc>
      </w:tr>
      <w:tr w:rsidR="00FC2F6C">
        <w:tc>
          <w:tcPr>
            <w:tcW w:w="6678" w:type="dxa"/>
          </w:tcPr>
          <w:p w:rsidR="00FC2F6C" w:rsidRDefault="00FC2F6C">
            <w:pPr>
              <w:rPr>
                <w:sz w:val="22"/>
                <w:szCs w:val="28"/>
              </w:rPr>
            </w:pPr>
            <w:r>
              <w:rPr>
                <w:sz w:val="22"/>
                <w:szCs w:val="28"/>
              </w:rPr>
              <w:lastRenderedPageBreak/>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FC2F6C" w:rsidRDefault="00FC2F6C">
            <w:pPr>
              <w:jc w:val="center"/>
              <w:rPr>
                <w:sz w:val="22"/>
                <w:szCs w:val="28"/>
              </w:rPr>
            </w:pPr>
            <w:r>
              <w:rPr>
                <w:sz w:val="22"/>
                <w:szCs w:val="28"/>
              </w:rPr>
              <w:t>Yes</w:t>
            </w:r>
          </w:p>
        </w:tc>
      </w:tr>
      <w:tr w:rsidR="00FC2F6C">
        <w:tc>
          <w:tcPr>
            <w:tcW w:w="6678" w:type="dxa"/>
          </w:tcPr>
          <w:p w:rsidR="00FC2F6C" w:rsidRDefault="00FC2F6C">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FC2F6C" w:rsidRDefault="00FC2F6C">
            <w:pPr>
              <w:jc w:val="center"/>
              <w:rPr>
                <w:sz w:val="22"/>
                <w:szCs w:val="28"/>
              </w:rPr>
            </w:pPr>
            <w:r>
              <w:rPr>
                <w:sz w:val="22"/>
                <w:szCs w:val="28"/>
              </w:rPr>
              <w:t>Yes</w:t>
            </w:r>
          </w:p>
        </w:tc>
      </w:tr>
    </w:tbl>
    <w:p w:rsidR="00FC2F6C" w:rsidRDefault="00FC2F6C">
      <w:pPr>
        <w:spacing w:line="360" w:lineRule="auto"/>
        <w:rPr>
          <w:sz w:val="28"/>
          <w:szCs w:val="28"/>
        </w:rPr>
      </w:pPr>
    </w:p>
    <w:p w:rsidR="00FC2F6C" w:rsidRDefault="00FC2F6C">
      <w:pPr>
        <w:spacing w:line="360" w:lineRule="auto"/>
        <w:rPr>
          <w:sz w:val="28"/>
          <w:szCs w:val="28"/>
        </w:rPr>
      </w:pPr>
      <w:r>
        <w:rPr>
          <w:sz w:val="28"/>
          <w:szCs w:val="28"/>
        </w:rPr>
        <w:t>At the site visit, Transfort provided the Review team with a number of maps, including maps of Low Income and Minority Populations.</w:t>
      </w:r>
    </w:p>
    <w:p w:rsidR="00FC2F6C" w:rsidRDefault="00FC2F6C">
      <w:pPr>
        <w:spacing w:line="360" w:lineRule="auto"/>
        <w:rPr>
          <w:sz w:val="28"/>
          <w:szCs w:val="28"/>
        </w:rPr>
      </w:pPr>
    </w:p>
    <w:p w:rsidR="00FC2F6C" w:rsidRDefault="00FC2F6C">
      <w:pPr>
        <w:pStyle w:val="BHLevel2"/>
      </w:pPr>
      <w:bookmarkStart w:id="22" w:name="_Toc201633551"/>
      <w:r>
        <w:t>Systemwide Service Standards and Policies</w:t>
      </w:r>
      <w:bookmarkEnd w:id="22"/>
    </w:p>
    <w:p w:rsidR="00FC2F6C" w:rsidRDefault="00FC2F6C">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FC2F6C" w:rsidRDefault="00FC2F6C">
      <w:pPr>
        <w:pStyle w:val="BodyTextIndent2"/>
        <w:tabs>
          <w:tab w:val="left" w:pos="6465"/>
        </w:tabs>
        <w:ind w:firstLine="0"/>
        <w:rPr>
          <w:i/>
          <w:iCs/>
        </w:rPr>
      </w:pPr>
      <w:r>
        <w:rPr>
          <w:i/>
          <w:iCs/>
        </w:rPr>
        <w:tab/>
      </w:r>
    </w:p>
    <w:p w:rsidR="00FC2F6C" w:rsidRDefault="00FC2F6C">
      <w:pPr>
        <w:spacing w:line="360" w:lineRule="auto"/>
        <w:rPr>
          <w:sz w:val="28"/>
          <w:szCs w:val="28"/>
        </w:rPr>
      </w:pPr>
      <w:r>
        <w:rPr>
          <w:b/>
          <w:sz w:val="28"/>
          <w:szCs w:val="28"/>
        </w:rPr>
        <w:t xml:space="preserve">Findings:  </w:t>
      </w:r>
      <w:r>
        <w:rPr>
          <w:sz w:val="28"/>
          <w:szCs w:val="28"/>
        </w:rPr>
        <w:t xml:space="preserve">During this Title VI Compliance Review of Transfort, deficiencies were found regarding Transfort’s compliance with FTA requirements for Systemwide Service Standards and Policies.  FTA Circular 4702.1A describes effective practices to fulfill the service standards and policies requirements.  FTA recommends that recipients set standards and policies for the following indicators, giving transit agencies latitude to set standards for different/or additional indicators at their discretion:  </w:t>
      </w:r>
    </w:p>
    <w:p w:rsidR="00FC2F6C" w:rsidRDefault="00FC2F6C">
      <w:pPr>
        <w:spacing w:line="360" w:lineRule="auto"/>
        <w:rPr>
          <w:sz w:val="28"/>
          <w:szCs w:val="28"/>
        </w:rPr>
      </w:pPr>
    </w:p>
    <w:tbl>
      <w:tblPr>
        <w:tblW w:w="0" w:type="auto"/>
        <w:jc w:val="center"/>
        <w:tblLook w:val="0000"/>
      </w:tblPr>
      <w:tblGrid>
        <w:gridCol w:w="3348"/>
        <w:gridCol w:w="2856"/>
      </w:tblGrid>
      <w:tr w:rsidR="00FC2F6C">
        <w:trPr>
          <w:jc w:val="center"/>
        </w:trPr>
        <w:tc>
          <w:tcPr>
            <w:tcW w:w="3348" w:type="dxa"/>
          </w:tcPr>
          <w:p w:rsidR="00FC2F6C" w:rsidRDefault="00FC2F6C">
            <w:pPr>
              <w:spacing w:line="360" w:lineRule="auto"/>
              <w:ind w:left="360"/>
              <w:rPr>
                <w:sz w:val="22"/>
                <w:szCs w:val="28"/>
                <w:u w:val="single"/>
              </w:rPr>
            </w:pPr>
            <w:r>
              <w:rPr>
                <w:sz w:val="22"/>
                <w:szCs w:val="28"/>
                <w:u w:val="single"/>
              </w:rPr>
              <w:t>Service Standards</w:t>
            </w:r>
          </w:p>
        </w:tc>
        <w:tc>
          <w:tcPr>
            <w:tcW w:w="2856" w:type="dxa"/>
          </w:tcPr>
          <w:p w:rsidR="00FC2F6C" w:rsidRDefault="00FC2F6C">
            <w:pPr>
              <w:spacing w:line="360" w:lineRule="auto"/>
              <w:ind w:left="360"/>
              <w:rPr>
                <w:sz w:val="22"/>
                <w:szCs w:val="28"/>
                <w:u w:val="single"/>
              </w:rPr>
            </w:pPr>
            <w:r>
              <w:rPr>
                <w:sz w:val="22"/>
                <w:szCs w:val="28"/>
                <w:u w:val="single"/>
              </w:rPr>
              <w:t>Service Policies</w:t>
            </w:r>
          </w:p>
        </w:tc>
      </w:tr>
      <w:tr w:rsidR="00FC2F6C">
        <w:trPr>
          <w:jc w:val="center"/>
        </w:trPr>
        <w:tc>
          <w:tcPr>
            <w:tcW w:w="3348" w:type="dxa"/>
          </w:tcPr>
          <w:p w:rsidR="00FC2F6C" w:rsidRDefault="00FC2F6C" w:rsidP="00FC2F6C">
            <w:pPr>
              <w:numPr>
                <w:ilvl w:val="0"/>
                <w:numId w:val="10"/>
              </w:numPr>
              <w:rPr>
                <w:sz w:val="22"/>
                <w:szCs w:val="28"/>
              </w:rPr>
            </w:pPr>
            <w:r>
              <w:rPr>
                <w:sz w:val="22"/>
                <w:szCs w:val="28"/>
              </w:rPr>
              <w:t>Vehicle Load</w:t>
            </w:r>
          </w:p>
        </w:tc>
        <w:tc>
          <w:tcPr>
            <w:tcW w:w="2856" w:type="dxa"/>
          </w:tcPr>
          <w:p w:rsidR="00FC2F6C" w:rsidRDefault="00FC2F6C" w:rsidP="00FC2F6C">
            <w:pPr>
              <w:numPr>
                <w:ilvl w:val="0"/>
                <w:numId w:val="10"/>
              </w:numPr>
              <w:rPr>
                <w:sz w:val="22"/>
                <w:szCs w:val="28"/>
              </w:rPr>
            </w:pPr>
            <w:r>
              <w:rPr>
                <w:sz w:val="22"/>
                <w:szCs w:val="28"/>
              </w:rPr>
              <w:t>Vehicle Assignment</w:t>
            </w:r>
          </w:p>
        </w:tc>
      </w:tr>
      <w:tr w:rsidR="00FC2F6C">
        <w:trPr>
          <w:jc w:val="center"/>
        </w:trPr>
        <w:tc>
          <w:tcPr>
            <w:tcW w:w="3348" w:type="dxa"/>
          </w:tcPr>
          <w:p w:rsidR="00FC2F6C" w:rsidRDefault="00FC2F6C" w:rsidP="00FC2F6C">
            <w:pPr>
              <w:numPr>
                <w:ilvl w:val="0"/>
                <w:numId w:val="10"/>
              </w:numPr>
              <w:rPr>
                <w:sz w:val="22"/>
                <w:szCs w:val="28"/>
              </w:rPr>
            </w:pPr>
            <w:r>
              <w:rPr>
                <w:sz w:val="22"/>
                <w:szCs w:val="28"/>
              </w:rPr>
              <w:t>Distribution of Transit Amenities</w:t>
            </w:r>
          </w:p>
        </w:tc>
        <w:tc>
          <w:tcPr>
            <w:tcW w:w="2856" w:type="dxa"/>
          </w:tcPr>
          <w:p w:rsidR="00FC2F6C" w:rsidRDefault="00FC2F6C" w:rsidP="00FC2F6C">
            <w:pPr>
              <w:numPr>
                <w:ilvl w:val="0"/>
                <w:numId w:val="10"/>
              </w:numPr>
              <w:rPr>
                <w:sz w:val="22"/>
                <w:szCs w:val="28"/>
              </w:rPr>
            </w:pPr>
            <w:r>
              <w:rPr>
                <w:sz w:val="22"/>
                <w:szCs w:val="28"/>
              </w:rPr>
              <w:t>Transit Security</w:t>
            </w:r>
          </w:p>
        </w:tc>
      </w:tr>
      <w:tr w:rsidR="00FC2F6C">
        <w:trPr>
          <w:jc w:val="center"/>
        </w:trPr>
        <w:tc>
          <w:tcPr>
            <w:tcW w:w="3348" w:type="dxa"/>
          </w:tcPr>
          <w:p w:rsidR="00FC2F6C" w:rsidRDefault="00FC2F6C" w:rsidP="00FC2F6C">
            <w:pPr>
              <w:numPr>
                <w:ilvl w:val="0"/>
                <w:numId w:val="10"/>
              </w:numPr>
              <w:rPr>
                <w:sz w:val="22"/>
                <w:szCs w:val="28"/>
              </w:rPr>
            </w:pPr>
            <w:r>
              <w:rPr>
                <w:sz w:val="22"/>
                <w:szCs w:val="28"/>
              </w:rPr>
              <w:lastRenderedPageBreak/>
              <w:t>Vehicle Headway</w:t>
            </w:r>
          </w:p>
        </w:tc>
        <w:tc>
          <w:tcPr>
            <w:tcW w:w="2856" w:type="dxa"/>
          </w:tcPr>
          <w:p w:rsidR="00FC2F6C" w:rsidRDefault="00FC2F6C">
            <w:pPr>
              <w:ind w:left="360"/>
              <w:rPr>
                <w:sz w:val="22"/>
                <w:szCs w:val="28"/>
              </w:rPr>
            </w:pPr>
          </w:p>
        </w:tc>
      </w:tr>
      <w:tr w:rsidR="00FC2F6C">
        <w:trPr>
          <w:jc w:val="center"/>
        </w:trPr>
        <w:tc>
          <w:tcPr>
            <w:tcW w:w="3348" w:type="dxa"/>
          </w:tcPr>
          <w:p w:rsidR="00FC2F6C" w:rsidRDefault="00FC2F6C" w:rsidP="00FC2F6C">
            <w:pPr>
              <w:numPr>
                <w:ilvl w:val="0"/>
                <w:numId w:val="10"/>
              </w:numPr>
              <w:rPr>
                <w:sz w:val="22"/>
                <w:szCs w:val="28"/>
              </w:rPr>
            </w:pPr>
            <w:r>
              <w:rPr>
                <w:sz w:val="22"/>
                <w:szCs w:val="28"/>
              </w:rPr>
              <w:t>Service Availability</w:t>
            </w:r>
          </w:p>
        </w:tc>
        <w:tc>
          <w:tcPr>
            <w:tcW w:w="2856" w:type="dxa"/>
          </w:tcPr>
          <w:p w:rsidR="00FC2F6C" w:rsidRDefault="00FC2F6C">
            <w:pPr>
              <w:ind w:left="360"/>
              <w:rPr>
                <w:sz w:val="22"/>
                <w:szCs w:val="28"/>
              </w:rPr>
            </w:pPr>
          </w:p>
        </w:tc>
      </w:tr>
      <w:tr w:rsidR="00FC2F6C">
        <w:trPr>
          <w:jc w:val="center"/>
        </w:trPr>
        <w:tc>
          <w:tcPr>
            <w:tcW w:w="3348" w:type="dxa"/>
          </w:tcPr>
          <w:p w:rsidR="00FC2F6C" w:rsidRDefault="00FC2F6C" w:rsidP="00FC2F6C">
            <w:pPr>
              <w:numPr>
                <w:ilvl w:val="0"/>
                <w:numId w:val="10"/>
              </w:numPr>
              <w:rPr>
                <w:sz w:val="22"/>
                <w:szCs w:val="28"/>
              </w:rPr>
            </w:pPr>
            <w:r>
              <w:rPr>
                <w:sz w:val="22"/>
                <w:szCs w:val="28"/>
              </w:rPr>
              <w:t>On-time Performance</w:t>
            </w:r>
          </w:p>
        </w:tc>
        <w:tc>
          <w:tcPr>
            <w:tcW w:w="2856" w:type="dxa"/>
          </w:tcPr>
          <w:p w:rsidR="00FC2F6C" w:rsidRDefault="00FC2F6C">
            <w:pPr>
              <w:ind w:left="360"/>
              <w:rPr>
                <w:sz w:val="22"/>
                <w:szCs w:val="28"/>
              </w:rPr>
            </w:pPr>
          </w:p>
        </w:tc>
      </w:tr>
    </w:tbl>
    <w:p w:rsidR="00FC2F6C" w:rsidRDefault="00FC2F6C">
      <w:pPr>
        <w:spacing w:line="360" w:lineRule="auto"/>
        <w:rPr>
          <w:sz w:val="28"/>
          <w:szCs w:val="28"/>
        </w:rPr>
      </w:pPr>
    </w:p>
    <w:p w:rsidR="00FC2F6C" w:rsidRDefault="00FC2F6C">
      <w:pPr>
        <w:spacing w:line="360" w:lineRule="auto"/>
        <w:rPr>
          <w:sz w:val="28"/>
          <w:szCs w:val="28"/>
        </w:rPr>
      </w:pPr>
      <w:r>
        <w:rPr>
          <w:sz w:val="28"/>
          <w:szCs w:val="28"/>
        </w:rPr>
        <w:t>During the Review, Transfort did not document that it had systemwide service standards and policies to guard against discriminatory service design or operations decisions, as required in the FTA Circular.  During the Review, Transfort provided a document entitled “Transfort Strategic Operations Plan Update” dated August 2009.  Section 7.6 of the Strategic Plan had a list of Transfort’s future action items.  Included in the list of action items was the following:</w:t>
      </w:r>
    </w:p>
    <w:p w:rsidR="00FC2F6C" w:rsidRDefault="00FC2F6C">
      <w:pPr>
        <w:spacing w:line="360" w:lineRule="auto"/>
        <w:rPr>
          <w:sz w:val="28"/>
          <w:szCs w:val="28"/>
        </w:rPr>
      </w:pPr>
    </w:p>
    <w:p w:rsidR="00FC2F6C" w:rsidRPr="00D4442A" w:rsidRDefault="00FC2F6C" w:rsidP="00D4442A">
      <w:pPr>
        <w:ind w:left="720"/>
        <w:rPr>
          <w:i/>
          <w:sz w:val="28"/>
          <w:szCs w:val="28"/>
        </w:rPr>
      </w:pPr>
      <w:r w:rsidRPr="00D4442A">
        <w:rPr>
          <w:i/>
          <w:sz w:val="28"/>
          <w:szCs w:val="28"/>
        </w:rPr>
        <w:t>Develop new performance standards and a formalized transit system performance monitoring program.</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 indicated that it would include Title VI considerations in the development of new performance standards.</w:t>
      </w:r>
    </w:p>
    <w:p w:rsidR="00FC2F6C" w:rsidRDefault="00FC2F6C">
      <w:pPr>
        <w:spacing w:line="360" w:lineRule="auto"/>
        <w:rPr>
          <w:sz w:val="28"/>
          <w:szCs w:val="28"/>
        </w:rPr>
      </w:pPr>
    </w:p>
    <w:p w:rsidR="00F63B47" w:rsidRDefault="00F63B47">
      <w:pPr>
        <w:spacing w:line="360" w:lineRule="auto"/>
        <w:rPr>
          <w:sz w:val="28"/>
          <w:szCs w:val="28"/>
        </w:rPr>
      </w:pPr>
      <w:r w:rsidRPr="00F63B47">
        <w:rPr>
          <w:sz w:val="28"/>
          <w:szCs w:val="28"/>
        </w:rPr>
        <w:t xml:space="preserve">Following the issuance of the draft report, Transfort submitted </w:t>
      </w:r>
      <w:r>
        <w:rPr>
          <w:sz w:val="28"/>
          <w:szCs w:val="28"/>
        </w:rPr>
        <w:t xml:space="preserve">a document entitled </w:t>
      </w:r>
      <w:r w:rsidRPr="00F63B47">
        <w:rPr>
          <w:i/>
          <w:sz w:val="28"/>
          <w:szCs w:val="28"/>
        </w:rPr>
        <w:t>Service Standards</w:t>
      </w:r>
      <w:r>
        <w:rPr>
          <w:sz w:val="28"/>
          <w:szCs w:val="28"/>
        </w:rPr>
        <w:t>.  This document provided a comprehensive description of the following:</w:t>
      </w:r>
    </w:p>
    <w:p w:rsidR="00F63B47" w:rsidRDefault="00F63B47" w:rsidP="00F63B47">
      <w:pPr>
        <w:pStyle w:val="ListParagraph"/>
        <w:numPr>
          <w:ilvl w:val="0"/>
          <w:numId w:val="23"/>
        </w:numPr>
        <w:rPr>
          <w:sz w:val="28"/>
          <w:szCs w:val="28"/>
        </w:rPr>
      </w:pPr>
      <w:r w:rsidRPr="00F63B47">
        <w:rPr>
          <w:sz w:val="28"/>
          <w:szCs w:val="28"/>
        </w:rPr>
        <w:t>Productivity standards – passengers per hour and revenue mile</w:t>
      </w:r>
      <w:r w:rsidR="00D14D97">
        <w:rPr>
          <w:sz w:val="28"/>
          <w:szCs w:val="28"/>
        </w:rPr>
        <w:t>s</w:t>
      </w:r>
      <w:r w:rsidRPr="00F63B47">
        <w:rPr>
          <w:sz w:val="28"/>
          <w:szCs w:val="28"/>
        </w:rPr>
        <w:t xml:space="preserve"> by service category</w:t>
      </w:r>
    </w:p>
    <w:p w:rsidR="00F63B47" w:rsidRDefault="00F63B47" w:rsidP="00F63B47">
      <w:pPr>
        <w:pStyle w:val="ListParagraph"/>
        <w:numPr>
          <w:ilvl w:val="0"/>
          <w:numId w:val="23"/>
        </w:numPr>
        <w:rPr>
          <w:sz w:val="28"/>
          <w:szCs w:val="28"/>
        </w:rPr>
      </w:pPr>
      <w:r>
        <w:rPr>
          <w:sz w:val="28"/>
          <w:szCs w:val="28"/>
        </w:rPr>
        <w:t>Vehicle load standards – maximum passengers per time of day</w:t>
      </w:r>
    </w:p>
    <w:p w:rsidR="00F63B47" w:rsidRDefault="00F63B47" w:rsidP="00F63B47">
      <w:pPr>
        <w:pStyle w:val="ListParagraph"/>
        <w:numPr>
          <w:ilvl w:val="0"/>
          <w:numId w:val="23"/>
        </w:numPr>
        <w:rPr>
          <w:sz w:val="28"/>
          <w:szCs w:val="28"/>
        </w:rPr>
      </w:pPr>
      <w:r>
        <w:rPr>
          <w:sz w:val="28"/>
          <w:szCs w:val="28"/>
        </w:rPr>
        <w:t>Vehicle headway – minimum and demand-based frequency standards</w:t>
      </w:r>
    </w:p>
    <w:p w:rsidR="00F63B47" w:rsidRDefault="00F63B47" w:rsidP="00F63B47">
      <w:pPr>
        <w:pStyle w:val="ListParagraph"/>
        <w:numPr>
          <w:ilvl w:val="0"/>
          <w:numId w:val="23"/>
        </w:numPr>
        <w:rPr>
          <w:sz w:val="28"/>
          <w:szCs w:val="28"/>
        </w:rPr>
      </w:pPr>
      <w:r>
        <w:rPr>
          <w:sz w:val="28"/>
          <w:szCs w:val="28"/>
        </w:rPr>
        <w:t>Service availability – design standards</w:t>
      </w:r>
    </w:p>
    <w:p w:rsidR="00F63B47" w:rsidRDefault="00F63B47" w:rsidP="00F63B47">
      <w:pPr>
        <w:pStyle w:val="ListParagraph"/>
        <w:numPr>
          <w:ilvl w:val="0"/>
          <w:numId w:val="23"/>
        </w:numPr>
        <w:rPr>
          <w:sz w:val="28"/>
          <w:szCs w:val="28"/>
        </w:rPr>
      </w:pPr>
      <w:r>
        <w:rPr>
          <w:sz w:val="28"/>
          <w:szCs w:val="28"/>
        </w:rPr>
        <w:t>Vehicle assignment targets</w:t>
      </w:r>
    </w:p>
    <w:p w:rsidR="00F63B47" w:rsidRDefault="00F63B47" w:rsidP="00F63B47">
      <w:pPr>
        <w:pStyle w:val="ListParagraph"/>
        <w:numPr>
          <w:ilvl w:val="0"/>
          <w:numId w:val="23"/>
        </w:numPr>
        <w:rPr>
          <w:sz w:val="28"/>
          <w:szCs w:val="28"/>
        </w:rPr>
      </w:pPr>
      <w:r>
        <w:rPr>
          <w:sz w:val="28"/>
          <w:szCs w:val="28"/>
        </w:rPr>
        <w:t>On-time performance</w:t>
      </w:r>
    </w:p>
    <w:p w:rsidR="00F63B47" w:rsidRDefault="00F63B47" w:rsidP="00F63B47">
      <w:pPr>
        <w:pStyle w:val="ListParagraph"/>
        <w:numPr>
          <w:ilvl w:val="0"/>
          <w:numId w:val="23"/>
        </w:numPr>
        <w:rPr>
          <w:sz w:val="28"/>
          <w:szCs w:val="28"/>
        </w:rPr>
      </w:pPr>
      <w:r>
        <w:rPr>
          <w:sz w:val="28"/>
          <w:szCs w:val="28"/>
        </w:rPr>
        <w:t>Distribution of transit amenities – shelters, benches, maps</w:t>
      </w:r>
      <w:r w:rsidR="00D14D97">
        <w:rPr>
          <w:sz w:val="28"/>
          <w:szCs w:val="28"/>
        </w:rPr>
        <w:t>,</w:t>
      </w:r>
      <w:r>
        <w:rPr>
          <w:sz w:val="28"/>
          <w:szCs w:val="28"/>
        </w:rPr>
        <w:t xml:space="preserve"> and schedules</w:t>
      </w:r>
    </w:p>
    <w:p w:rsidR="00F63B47" w:rsidRPr="00F63B47" w:rsidRDefault="00F63B47" w:rsidP="00F63B47">
      <w:pPr>
        <w:pStyle w:val="ListParagraph"/>
        <w:numPr>
          <w:ilvl w:val="0"/>
          <w:numId w:val="23"/>
        </w:numPr>
        <w:rPr>
          <w:sz w:val="28"/>
          <w:szCs w:val="28"/>
        </w:rPr>
      </w:pPr>
      <w:r>
        <w:rPr>
          <w:sz w:val="28"/>
          <w:szCs w:val="28"/>
        </w:rPr>
        <w:t xml:space="preserve">Transit security – surveillance cameras, emergency call buttons, </w:t>
      </w:r>
      <w:r w:rsidR="00D14D97">
        <w:rPr>
          <w:sz w:val="28"/>
          <w:szCs w:val="28"/>
        </w:rPr>
        <w:t xml:space="preserve">and </w:t>
      </w:r>
      <w:r>
        <w:rPr>
          <w:sz w:val="28"/>
          <w:szCs w:val="28"/>
        </w:rPr>
        <w:t>deployment of security personnel</w:t>
      </w:r>
    </w:p>
    <w:p w:rsidR="00FC2F6C" w:rsidRDefault="00F63B47">
      <w:pPr>
        <w:spacing w:line="360" w:lineRule="auto"/>
        <w:rPr>
          <w:sz w:val="28"/>
          <w:szCs w:val="28"/>
        </w:rPr>
      </w:pPr>
      <w:r w:rsidRPr="00FF2911">
        <w:rPr>
          <w:sz w:val="28"/>
          <w:szCs w:val="28"/>
        </w:rPr>
        <w:lastRenderedPageBreak/>
        <w:t xml:space="preserve">Most of the standards were quantifiable and </w:t>
      </w:r>
      <w:r w:rsidR="00D8532C">
        <w:rPr>
          <w:sz w:val="28"/>
          <w:szCs w:val="28"/>
        </w:rPr>
        <w:t>could</w:t>
      </w:r>
      <w:r w:rsidRPr="00FF2911">
        <w:rPr>
          <w:sz w:val="28"/>
          <w:szCs w:val="28"/>
        </w:rPr>
        <w:t xml:space="preserve"> be used to</w:t>
      </w:r>
      <w:r>
        <w:rPr>
          <w:b/>
          <w:sz w:val="28"/>
          <w:szCs w:val="28"/>
        </w:rPr>
        <w:t xml:space="preserve"> </w:t>
      </w:r>
      <w:r w:rsidR="00FC2F6C">
        <w:rPr>
          <w:sz w:val="28"/>
          <w:szCs w:val="28"/>
        </w:rPr>
        <w:t>guard against discriminatory service design or operations decisions, as required in FTA Circular 4702.1A.</w:t>
      </w:r>
    </w:p>
    <w:p w:rsidR="00D8532C" w:rsidRDefault="00D8532C">
      <w:pPr>
        <w:spacing w:line="360" w:lineRule="auto"/>
        <w:rPr>
          <w:sz w:val="28"/>
          <w:szCs w:val="28"/>
        </w:rPr>
      </w:pPr>
    </w:p>
    <w:p w:rsidR="00D8532C" w:rsidRDefault="00D8532C">
      <w:pPr>
        <w:spacing w:line="360" w:lineRule="auto"/>
        <w:rPr>
          <w:sz w:val="28"/>
          <w:szCs w:val="28"/>
        </w:rPr>
      </w:pPr>
      <w:r>
        <w:rPr>
          <w:sz w:val="28"/>
          <w:szCs w:val="28"/>
        </w:rPr>
        <w:t>The deficiency in this area is now closed.</w:t>
      </w:r>
    </w:p>
    <w:p w:rsidR="00D8532C" w:rsidRDefault="00D8532C">
      <w:pPr>
        <w:spacing w:line="360" w:lineRule="auto"/>
        <w:rPr>
          <w:sz w:val="28"/>
          <w:szCs w:val="28"/>
        </w:rPr>
      </w:pPr>
    </w:p>
    <w:p w:rsidR="00FC2F6C" w:rsidRDefault="00FC2F6C">
      <w:pPr>
        <w:pStyle w:val="BHLevel2"/>
      </w:pPr>
      <w:bookmarkStart w:id="23" w:name="_Toc201633552"/>
      <w:r>
        <w:t>Evaluation of Service and Fare Changes</w:t>
      </w:r>
      <w:bookmarkEnd w:id="23"/>
    </w:p>
    <w:p w:rsidR="00FC2F6C" w:rsidRDefault="00FC2F6C">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FC2F6C" w:rsidRDefault="00FC2F6C">
      <w:pPr>
        <w:spacing w:line="360" w:lineRule="auto"/>
        <w:rPr>
          <w:sz w:val="28"/>
          <w:szCs w:val="28"/>
        </w:rPr>
      </w:pPr>
    </w:p>
    <w:p w:rsidR="00B4669F" w:rsidRDefault="00FC2F6C">
      <w:pPr>
        <w:spacing w:line="360" w:lineRule="auto"/>
        <w:rPr>
          <w:sz w:val="28"/>
          <w:szCs w:val="28"/>
        </w:rPr>
      </w:pPr>
      <w:r>
        <w:rPr>
          <w:b/>
          <w:sz w:val="28"/>
          <w:szCs w:val="28"/>
        </w:rPr>
        <w:t xml:space="preserve">Findings: </w:t>
      </w:r>
      <w:r>
        <w:rPr>
          <w:sz w:val="28"/>
          <w:szCs w:val="28"/>
        </w:rPr>
        <w:t xml:space="preserve">During this Title VI Compliance Review of Transfort, deficiencies were found regarding Transfort’s compliance with FTA requirements for Evaluation of Service and Fare Changes.  </w:t>
      </w:r>
    </w:p>
    <w:p w:rsidR="00B4669F" w:rsidRDefault="00B4669F">
      <w:pPr>
        <w:spacing w:line="360" w:lineRule="auto"/>
        <w:rPr>
          <w:sz w:val="28"/>
          <w:szCs w:val="28"/>
        </w:rPr>
      </w:pPr>
    </w:p>
    <w:p w:rsidR="00D8532C" w:rsidRDefault="00FC2F6C">
      <w:pPr>
        <w:spacing w:line="360" w:lineRule="auto"/>
        <w:rPr>
          <w:sz w:val="28"/>
          <w:szCs w:val="28"/>
        </w:rPr>
      </w:pPr>
      <w:r>
        <w:rPr>
          <w:sz w:val="28"/>
          <w:szCs w:val="28"/>
        </w:rPr>
        <w:t xml:space="preserve">During the Review, Transfort </w:t>
      </w:r>
      <w:r w:rsidR="00B4669F">
        <w:rPr>
          <w:sz w:val="28"/>
          <w:szCs w:val="28"/>
        </w:rPr>
        <w:t>did</w:t>
      </w:r>
      <w:r>
        <w:rPr>
          <w:sz w:val="28"/>
          <w:szCs w:val="28"/>
        </w:rPr>
        <w:t xml:space="preserve"> not document that it had </w:t>
      </w:r>
      <w:r w:rsidR="00D8532C">
        <w:rPr>
          <w:sz w:val="28"/>
          <w:szCs w:val="28"/>
        </w:rPr>
        <w:t xml:space="preserve">conducted evaluations of service and fare changes in </w:t>
      </w:r>
      <w:r>
        <w:rPr>
          <w:sz w:val="28"/>
          <w:szCs w:val="28"/>
        </w:rPr>
        <w:t>conformance with the Title VI Circular</w:t>
      </w:r>
      <w:r w:rsidR="00D8532C">
        <w:rPr>
          <w:sz w:val="28"/>
          <w:szCs w:val="28"/>
        </w:rPr>
        <w:t xml:space="preserve"> during the past three years</w:t>
      </w:r>
      <w:r>
        <w:rPr>
          <w:sz w:val="28"/>
          <w:szCs w:val="28"/>
        </w:rPr>
        <w:t xml:space="preserve">.  </w:t>
      </w:r>
      <w:r w:rsidR="00D8532C">
        <w:rPr>
          <w:sz w:val="28"/>
          <w:szCs w:val="28"/>
        </w:rPr>
        <w:t xml:space="preserve">Specifically, Transfort did not have a record of conducting an evaluation of the service changes during the planning stages of the Mason Express Bus Rapid Transit project. </w:t>
      </w:r>
      <w:r w:rsidR="00CC7FA5">
        <w:rPr>
          <w:sz w:val="28"/>
          <w:szCs w:val="28"/>
        </w:rPr>
        <w:t xml:space="preserve">  This major capital project represents a significant service expansion and </w:t>
      </w:r>
      <w:r w:rsidR="00B4669F">
        <w:rPr>
          <w:sz w:val="28"/>
          <w:szCs w:val="28"/>
        </w:rPr>
        <w:t>investment of resources and will likely result in changes/eliminations of bus service.  Transfort must consider the benefits and burdens of this investment and the changes on minority and/or low-income communities.</w:t>
      </w:r>
    </w:p>
    <w:p w:rsidR="00D8532C" w:rsidRDefault="00D8532C">
      <w:pPr>
        <w:spacing w:line="360" w:lineRule="auto"/>
        <w:rPr>
          <w:sz w:val="28"/>
          <w:szCs w:val="28"/>
        </w:rPr>
      </w:pPr>
    </w:p>
    <w:p w:rsidR="00FC2F6C" w:rsidRDefault="00FC2F6C">
      <w:pPr>
        <w:spacing w:line="360" w:lineRule="auto"/>
        <w:rPr>
          <w:sz w:val="28"/>
          <w:szCs w:val="28"/>
        </w:rPr>
      </w:pPr>
      <w:r>
        <w:rPr>
          <w:sz w:val="28"/>
          <w:szCs w:val="28"/>
        </w:rPr>
        <w:lastRenderedPageBreak/>
        <w:t>During the Review, Transfort provided a document entitled “Transfort Strategic Operations Plan Update”, dated August 2009.  Section 7.4.2 contained Transfort’s Route Change Policy.  Section 7.4.1 contained Transfort’s Fare Change Policy.  The Fare Change Policy included the following list of considerations:</w:t>
      </w:r>
    </w:p>
    <w:p w:rsidR="00FC2F6C" w:rsidRPr="00D4442A" w:rsidRDefault="00FC2F6C" w:rsidP="00D4442A">
      <w:pPr>
        <w:numPr>
          <w:ilvl w:val="0"/>
          <w:numId w:val="16"/>
        </w:numPr>
        <w:rPr>
          <w:i/>
          <w:sz w:val="28"/>
          <w:szCs w:val="28"/>
        </w:rPr>
      </w:pPr>
      <w:r w:rsidRPr="00D4442A">
        <w:rPr>
          <w:i/>
          <w:sz w:val="28"/>
          <w:szCs w:val="28"/>
        </w:rPr>
        <w:t>Inflation rate</w:t>
      </w:r>
    </w:p>
    <w:p w:rsidR="00FC2F6C" w:rsidRPr="00D4442A" w:rsidRDefault="00FC2F6C" w:rsidP="00D4442A">
      <w:pPr>
        <w:numPr>
          <w:ilvl w:val="0"/>
          <w:numId w:val="16"/>
        </w:numPr>
        <w:rPr>
          <w:i/>
          <w:sz w:val="28"/>
          <w:szCs w:val="28"/>
        </w:rPr>
      </w:pPr>
      <w:r w:rsidRPr="00D4442A">
        <w:rPr>
          <w:i/>
          <w:sz w:val="28"/>
          <w:szCs w:val="28"/>
        </w:rPr>
        <w:t>Ridership and revenue trends</w:t>
      </w:r>
    </w:p>
    <w:p w:rsidR="00FC2F6C" w:rsidRPr="00D4442A" w:rsidRDefault="00FC2F6C" w:rsidP="00D4442A">
      <w:pPr>
        <w:numPr>
          <w:ilvl w:val="0"/>
          <w:numId w:val="16"/>
        </w:numPr>
        <w:rPr>
          <w:i/>
          <w:sz w:val="28"/>
          <w:szCs w:val="28"/>
        </w:rPr>
      </w:pPr>
      <w:r w:rsidRPr="00D4442A">
        <w:rPr>
          <w:i/>
          <w:sz w:val="28"/>
          <w:szCs w:val="28"/>
        </w:rPr>
        <w:t>Local economic trends</w:t>
      </w:r>
    </w:p>
    <w:p w:rsidR="00FC2F6C" w:rsidRPr="00D4442A" w:rsidRDefault="00FC2F6C" w:rsidP="00D4442A">
      <w:pPr>
        <w:numPr>
          <w:ilvl w:val="0"/>
          <w:numId w:val="16"/>
        </w:numPr>
        <w:rPr>
          <w:i/>
          <w:sz w:val="28"/>
          <w:szCs w:val="28"/>
        </w:rPr>
      </w:pPr>
      <w:r w:rsidRPr="00D4442A">
        <w:rPr>
          <w:i/>
          <w:sz w:val="28"/>
          <w:szCs w:val="28"/>
        </w:rPr>
        <w:t>Trends automobile-related costs such as gas</w:t>
      </w:r>
    </w:p>
    <w:p w:rsidR="00FC2F6C" w:rsidRPr="00D4442A" w:rsidRDefault="00FC2F6C" w:rsidP="00D4442A">
      <w:pPr>
        <w:numPr>
          <w:ilvl w:val="0"/>
          <w:numId w:val="16"/>
        </w:numPr>
        <w:rPr>
          <w:i/>
          <w:sz w:val="28"/>
          <w:szCs w:val="28"/>
        </w:rPr>
      </w:pPr>
      <w:r w:rsidRPr="00D4442A">
        <w:rPr>
          <w:i/>
          <w:sz w:val="28"/>
          <w:szCs w:val="28"/>
        </w:rPr>
        <w:t>Service changes</w:t>
      </w:r>
    </w:p>
    <w:p w:rsidR="00FC2F6C" w:rsidRPr="00D4442A" w:rsidRDefault="00FC2F6C" w:rsidP="00D4442A">
      <w:pPr>
        <w:numPr>
          <w:ilvl w:val="0"/>
          <w:numId w:val="16"/>
        </w:numPr>
        <w:rPr>
          <w:i/>
          <w:sz w:val="28"/>
          <w:szCs w:val="28"/>
        </w:rPr>
      </w:pPr>
      <w:r w:rsidRPr="00D4442A">
        <w:rPr>
          <w:i/>
          <w:sz w:val="28"/>
          <w:szCs w:val="28"/>
        </w:rPr>
        <w:t>Economic impact on customers</w:t>
      </w:r>
    </w:p>
    <w:p w:rsidR="00FC2F6C" w:rsidRPr="00D4442A" w:rsidRDefault="00FC2F6C" w:rsidP="00D4442A">
      <w:pPr>
        <w:numPr>
          <w:ilvl w:val="0"/>
          <w:numId w:val="16"/>
        </w:numPr>
        <w:rPr>
          <w:i/>
          <w:sz w:val="28"/>
          <w:szCs w:val="28"/>
        </w:rPr>
      </w:pPr>
      <w:r w:rsidRPr="00D4442A">
        <w:rPr>
          <w:i/>
          <w:sz w:val="28"/>
          <w:szCs w:val="28"/>
        </w:rPr>
        <w:t>Market conditions and opportunities</w:t>
      </w:r>
    </w:p>
    <w:p w:rsidR="00FC2F6C" w:rsidRPr="00D4442A" w:rsidRDefault="00FC2F6C" w:rsidP="00D4442A">
      <w:pPr>
        <w:numPr>
          <w:ilvl w:val="0"/>
          <w:numId w:val="16"/>
        </w:numPr>
        <w:rPr>
          <w:i/>
          <w:sz w:val="28"/>
          <w:szCs w:val="28"/>
        </w:rPr>
      </w:pPr>
      <w:r w:rsidRPr="00D4442A">
        <w:rPr>
          <w:i/>
          <w:sz w:val="28"/>
          <w:szCs w:val="28"/>
        </w:rPr>
        <w:t>The City’s financial situation</w:t>
      </w:r>
    </w:p>
    <w:p w:rsidR="00FC2F6C" w:rsidRPr="00D4442A" w:rsidRDefault="00FC2F6C" w:rsidP="00D4442A">
      <w:pPr>
        <w:numPr>
          <w:ilvl w:val="0"/>
          <w:numId w:val="16"/>
        </w:numPr>
        <w:rPr>
          <w:i/>
          <w:sz w:val="28"/>
          <w:szCs w:val="28"/>
        </w:rPr>
      </w:pPr>
      <w:r w:rsidRPr="00D4442A">
        <w:rPr>
          <w:i/>
          <w:sz w:val="28"/>
          <w:szCs w:val="28"/>
        </w:rPr>
        <w:t>The City’s goals and objectives</w:t>
      </w:r>
    </w:p>
    <w:p w:rsidR="00FC2F6C" w:rsidRDefault="00FC2F6C">
      <w:pPr>
        <w:spacing w:line="360" w:lineRule="auto"/>
        <w:rPr>
          <w:bCs/>
          <w:sz w:val="28"/>
          <w:szCs w:val="28"/>
        </w:rPr>
      </w:pPr>
    </w:p>
    <w:p w:rsidR="0002657A" w:rsidRDefault="00FC2F6C">
      <w:pPr>
        <w:spacing w:line="360" w:lineRule="auto"/>
        <w:rPr>
          <w:bCs/>
          <w:sz w:val="28"/>
          <w:szCs w:val="28"/>
        </w:rPr>
      </w:pPr>
      <w:r>
        <w:rPr>
          <w:bCs/>
          <w:sz w:val="28"/>
          <w:szCs w:val="28"/>
        </w:rPr>
        <w:t>The Policy did not address how the impacts of fare changes would be assessed to determine if the changes would have a discriminatory effect on minority and low-income populations</w:t>
      </w:r>
      <w:r w:rsidR="0010044E">
        <w:rPr>
          <w:bCs/>
          <w:sz w:val="28"/>
          <w:szCs w:val="28"/>
        </w:rPr>
        <w:t xml:space="preserve">. </w:t>
      </w:r>
    </w:p>
    <w:p w:rsidR="0002657A" w:rsidRDefault="004A054E">
      <w:pPr>
        <w:spacing w:line="360" w:lineRule="auto"/>
        <w:rPr>
          <w:bCs/>
          <w:sz w:val="28"/>
          <w:szCs w:val="28"/>
        </w:rPr>
      </w:pPr>
      <w:r>
        <w:rPr>
          <w:bCs/>
          <w:sz w:val="28"/>
          <w:szCs w:val="28"/>
        </w:rPr>
        <w:t xml:space="preserve">Following the issuance of the draft report, Transfort submitted a revised </w:t>
      </w:r>
      <w:r w:rsidR="00567079">
        <w:rPr>
          <w:bCs/>
          <w:i/>
          <w:sz w:val="28"/>
          <w:szCs w:val="28"/>
        </w:rPr>
        <w:t>Fare Change P</w:t>
      </w:r>
      <w:r w:rsidRPr="00567079">
        <w:rPr>
          <w:bCs/>
          <w:i/>
          <w:sz w:val="28"/>
          <w:szCs w:val="28"/>
        </w:rPr>
        <w:t>olic</w:t>
      </w:r>
      <w:r w:rsidR="00567079">
        <w:rPr>
          <w:bCs/>
          <w:i/>
          <w:sz w:val="28"/>
          <w:szCs w:val="28"/>
        </w:rPr>
        <w:t>y</w:t>
      </w:r>
      <w:r w:rsidR="00567079">
        <w:rPr>
          <w:bCs/>
          <w:sz w:val="28"/>
          <w:szCs w:val="28"/>
        </w:rPr>
        <w:t>.   In this document</w:t>
      </w:r>
      <w:r w:rsidR="00D14D97">
        <w:rPr>
          <w:bCs/>
          <w:sz w:val="28"/>
          <w:szCs w:val="28"/>
        </w:rPr>
        <w:t>,</w:t>
      </w:r>
      <w:r>
        <w:rPr>
          <w:bCs/>
          <w:sz w:val="28"/>
          <w:szCs w:val="28"/>
        </w:rPr>
        <w:t xml:space="preserve"> Transfort </w:t>
      </w:r>
      <w:r w:rsidR="00567079">
        <w:rPr>
          <w:bCs/>
          <w:sz w:val="28"/>
          <w:szCs w:val="28"/>
        </w:rPr>
        <w:t>added consideration of</w:t>
      </w:r>
      <w:r>
        <w:rPr>
          <w:bCs/>
          <w:sz w:val="28"/>
          <w:szCs w:val="28"/>
        </w:rPr>
        <w:t xml:space="preserve"> the impacts </w:t>
      </w:r>
      <w:r w:rsidR="00B4669F">
        <w:rPr>
          <w:bCs/>
          <w:sz w:val="28"/>
          <w:szCs w:val="28"/>
        </w:rPr>
        <w:t xml:space="preserve">and the identification of alternatives to mitigate the impacts </w:t>
      </w:r>
      <w:r>
        <w:rPr>
          <w:bCs/>
          <w:sz w:val="28"/>
          <w:szCs w:val="28"/>
        </w:rPr>
        <w:t>of fare change proposals on minority and</w:t>
      </w:r>
      <w:r w:rsidR="00567079">
        <w:rPr>
          <w:bCs/>
          <w:sz w:val="28"/>
          <w:szCs w:val="28"/>
        </w:rPr>
        <w:t>/or</w:t>
      </w:r>
      <w:r>
        <w:rPr>
          <w:bCs/>
          <w:sz w:val="28"/>
          <w:szCs w:val="28"/>
        </w:rPr>
        <w:t xml:space="preserve"> low-income </w:t>
      </w:r>
      <w:r w:rsidR="00567079">
        <w:rPr>
          <w:bCs/>
          <w:sz w:val="28"/>
          <w:szCs w:val="28"/>
        </w:rPr>
        <w:t>communities.</w:t>
      </w:r>
      <w:r>
        <w:rPr>
          <w:bCs/>
          <w:sz w:val="28"/>
          <w:szCs w:val="28"/>
        </w:rPr>
        <w:t xml:space="preserve"> </w:t>
      </w:r>
      <w:r w:rsidR="00CC7FA5">
        <w:rPr>
          <w:bCs/>
          <w:sz w:val="28"/>
          <w:szCs w:val="28"/>
        </w:rPr>
        <w:t xml:space="preserve"> </w:t>
      </w:r>
      <w:r>
        <w:rPr>
          <w:bCs/>
          <w:sz w:val="28"/>
          <w:szCs w:val="28"/>
        </w:rPr>
        <w:t xml:space="preserve">Transfort also submitted a new procedure, entitled </w:t>
      </w:r>
      <w:r w:rsidR="00567079">
        <w:rPr>
          <w:bCs/>
          <w:i/>
          <w:sz w:val="28"/>
          <w:szCs w:val="28"/>
        </w:rPr>
        <w:t>Route</w:t>
      </w:r>
      <w:r w:rsidRPr="004A054E">
        <w:rPr>
          <w:bCs/>
          <w:i/>
          <w:sz w:val="28"/>
          <w:szCs w:val="28"/>
        </w:rPr>
        <w:t xml:space="preserve"> Chang</w:t>
      </w:r>
      <w:r w:rsidR="00567079">
        <w:rPr>
          <w:bCs/>
          <w:i/>
          <w:sz w:val="28"/>
          <w:szCs w:val="28"/>
        </w:rPr>
        <w:t>e Policy.</w:t>
      </w:r>
      <w:r>
        <w:rPr>
          <w:bCs/>
          <w:sz w:val="28"/>
          <w:szCs w:val="28"/>
        </w:rPr>
        <w:t xml:space="preserve">  This </w:t>
      </w:r>
      <w:r w:rsidR="00567079">
        <w:rPr>
          <w:bCs/>
          <w:sz w:val="28"/>
          <w:szCs w:val="28"/>
        </w:rPr>
        <w:t>document</w:t>
      </w:r>
      <w:r>
        <w:rPr>
          <w:bCs/>
          <w:sz w:val="28"/>
          <w:szCs w:val="28"/>
        </w:rPr>
        <w:t xml:space="preserve"> described how Transfort would </w:t>
      </w:r>
      <w:r w:rsidR="00CC7FA5">
        <w:rPr>
          <w:bCs/>
          <w:sz w:val="28"/>
          <w:szCs w:val="28"/>
        </w:rPr>
        <w:t>consider the impacts of changes to existing routes on</w:t>
      </w:r>
      <w:r>
        <w:rPr>
          <w:bCs/>
          <w:sz w:val="28"/>
          <w:szCs w:val="28"/>
        </w:rPr>
        <w:t xml:space="preserve"> minority and low-income communities during the planning stages.  </w:t>
      </w:r>
      <w:r w:rsidR="00CC7FA5">
        <w:rPr>
          <w:bCs/>
          <w:sz w:val="28"/>
          <w:szCs w:val="28"/>
        </w:rPr>
        <w:t xml:space="preserve">The Policy did not address adding or eliminating service and it did not identify a threshold for </w:t>
      </w:r>
      <w:r w:rsidR="00D14D97">
        <w:rPr>
          <w:bCs/>
          <w:sz w:val="28"/>
          <w:szCs w:val="28"/>
        </w:rPr>
        <w:t>major service</w:t>
      </w:r>
      <w:r w:rsidR="00CC7FA5">
        <w:rPr>
          <w:bCs/>
          <w:sz w:val="28"/>
          <w:szCs w:val="28"/>
        </w:rPr>
        <w:t xml:space="preserve"> changes.  The </w:t>
      </w:r>
      <w:r w:rsidR="00CC7FA5" w:rsidRPr="00CC7FA5">
        <w:rPr>
          <w:bCs/>
          <w:i/>
          <w:sz w:val="28"/>
          <w:szCs w:val="28"/>
        </w:rPr>
        <w:t>Route Change Policy</w:t>
      </w:r>
      <w:r w:rsidR="00CC7FA5">
        <w:rPr>
          <w:bCs/>
          <w:sz w:val="28"/>
          <w:szCs w:val="28"/>
        </w:rPr>
        <w:t xml:space="preserve"> did not meet </w:t>
      </w:r>
      <w:r w:rsidR="00B4669F">
        <w:rPr>
          <w:bCs/>
          <w:sz w:val="28"/>
          <w:szCs w:val="28"/>
        </w:rPr>
        <w:t>FTA requirements as shown below:</w:t>
      </w:r>
      <w:r w:rsidR="00CC7FA5">
        <w:rPr>
          <w:bCs/>
          <w:sz w:val="28"/>
          <w:szCs w:val="28"/>
        </w:rPr>
        <w:t xml:space="preserve"> </w:t>
      </w:r>
    </w:p>
    <w:p w:rsidR="00B4669F" w:rsidRDefault="00B4669F">
      <w:pPr>
        <w:spacing w:line="360" w:lineRule="auto"/>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948"/>
        <w:gridCol w:w="2358"/>
      </w:tblGrid>
      <w:tr w:rsidR="0002657A" w:rsidTr="0010044E">
        <w:trPr>
          <w:cantSplit/>
          <w:trHeight w:val="575"/>
          <w:tblHeader/>
        </w:trPr>
        <w:tc>
          <w:tcPr>
            <w:tcW w:w="9306" w:type="dxa"/>
            <w:gridSpan w:val="2"/>
          </w:tcPr>
          <w:p w:rsidR="0002657A" w:rsidRDefault="0002657A" w:rsidP="0010044E">
            <w:pPr>
              <w:jc w:val="center"/>
              <w:rPr>
                <w:b/>
                <w:bCs/>
                <w:sz w:val="24"/>
                <w:szCs w:val="28"/>
              </w:rPr>
            </w:pPr>
            <w:r>
              <w:rPr>
                <w:bCs/>
                <w:sz w:val="28"/>
                <w:szCs w:val="28"/>
              </w:rPr>
              <w:lastRenderedPageBreak/>
              <w:br w:type="page"/>
            </w:r>
            <w:r>
              <w:rPr>
                <w:b/>
                <w:bCs/>
                <w:sz w:val="24"/>
                <w:szCs w:val="28"/>
              </w:rPr>
              <w:t>ELEMENTS REQUIRED FOR EVALUATION OF SERVICE AND FARE CHANGES (PER FTA C. 4702.1A, V, 4.A.)</w:t>
            </w:r>
          </w:p>
        </w:tc>
      </w:tr>
      <w:tr w:rsidR="0002657A" w:rsidTr="0010044E">
        <w:trPr>
          <w:cantSplit/>
        </w:trPr>
        <w:tc>
          <w:tcPr>
            <w:tcW w:w="6948" w:type="dxa"/>
          </w:tcPr>
          <w:p w:rsidR="0002657A" w:rsidRDefault="0002657A" w:rsidP="0002657A">
            <w:pPr>
              <w:numPr>
                <w:ilvl w:val="0"/>
                <w:numId w:val="24"/>
              </w:numPr>
              <w:rPr>
                <w:sz w:val="22"/>
                <w:szCs w:val="28"/>
              </w:rPr>
            </w:pPr>
            <w:r>
              <w:rPr>
                <w:sz w:val="22"/>
                <w:szCs w:val="28"/>
              </w:rPr>
              <w:t>ASSESS THE EFFECTS OF THE PROPOSED FARE OR SERVICE CHANGE ON MINORITY AND LOW-INCOME POPULATIONS.</w:t>
            </w:r>
          </w:p>
        </w:tc>
        <w:tc>
          <w:tcPr>
            <w:tcW w:w="2358" w:type="dxa"/>
          </w:tcPr>
          <w:p w:rsidR="0002657A" w:rsidRPr="00B03A95" w:rsidRDefault="0002657A" w:rsidP="0002657A">
            <w:pPr>
              <w:jc w:val="center"/>
              <w:rPr>
                <w:b/>
                <w:sz w:val="22"/>
                <w:szCs w:val="28"/>
              </w:rPr>
            </w:pPr>
            <w:r w:rsidRPr="00B03A95">
              <w:rPr>
                <w:b/>
                <w:sz w:val="22"/>
                <w:szCs w:val="28"/>
              </w:rPr>
              <w:t xml:space="preserve">In </w:t>
            </w:r>
            <w:r>
              <w:rPr>
                <w:b/>
                <w:sz w:val="22"/>
                <w:szCs w:val="28"/>
              </w:rPr>
              <w:t>Transfort</w:t>
            </w:r>
            <w:r w:rsidR="00CC7FA5">
              <w:rPr>
                <w:b/>
                <w:sz w:val="22"/>
                <w:szCs w:val="28"/>
              </w:rPr>
              <w:t xml:space="preserve">’s Fare and Route </w:t>
            </w:r>
            <w:r w:rsidRPr="00B03A95">
              <w:rPr>
                <w:b/>
                <w:sz w:val="22"/>
                <w:szCs w:val="28"/>
              </w:rPr>
              <w:t xml:space="preserve">Change </w:t>
            </w:r>
            <w:r>
              <w:rPr>
                <w:b/>
                <w:sz w:val="22"/>
                <w:szCs w:val="28"/>
              </w:rPr>
              <w:t>Policies</w:t>
            </w:r>
            <w:r w:rsidRPr="00B03A95">
              <w:rPr>
                <w:b/>
                <w:sz w:val="22"/>
                <w:szCs w:val="28"/>
              </w:rPr>
              <w:t>?</w:t>
            </w:r>
          </w:p>
        </w:tc>
      </w:tr>
      <w:tr w:rsidR="0002657A" w:rsidTr="0010044E">
        <w:trPr>
          <w:cantSplit/>
        </w:trPr>
        <w:tc>
          <w:tcPr>
            <w:tcW w:w="6948" w:type="dxa"/>
          </w:tcPr>
          <w:p w:rsidR="0002657A" w:rsidRDefault="0002657A" w:rsidP="0010044E">
            <w:pPr>
              <w:ind w:left="1980" w:hanging="1620"/>
              <w:rPr>
                <w:i/>
                <w:sz w:val="22"/>
                <w:szCs w:val="28"/>
              </w:rPr>
            </w:pPr>
            <w:r>
              <w:rPr>
                <w:i/>
                <w:sz w:val="22"/>
                <w:szCs w:val="28"/>
                <w:u w:val="single"/>
              </w:rPr>
              <w:t>Route changes</w:t>
            </w:r>
            <w:r>
              <w:rPr>
                <w:i/>
                <w:sz w:val="22"/>
                <w:szCs w:val="28"/>
              </w:rPr>
              <w:t xml:space="preserve"> – produce maps of service changes overlaid on a demographic map of the service area</w:t>
            </w:r>
          </w:p>
        </w:tc>
        <w:tc>
          <w:tcPr>
            <w:tcW w:w="2358" w:type="dxa"/>
          </w:tcPr>
          <w:p w:rsidR="0002657A" w:rsidRPr="00B03A95" w:rsidRDefault="0002657A" w:rsidP="0010044E">
            <w:pPr>
              <w:ind w:left="72"/>
              <w:jc w:val="center"/>
              <w:rPr>
                <w:sz w:val="22"/>
                <w:szCs w:val="28"/>
              </w:rPr>
            </w:pPr>
            <w:r>
              <w:rPr>
                <w:sz w:val="22"/>
                <w:szCs w:val="28"/>
              </w:rPr>
              <w:t>No</w:t>
            </w:r>
          </w:p>
        </w:tc>
      </w:tr>
      <w:tr w:rsidR="0002657A" w:rsidTr="0010044E">
        <w:trPr>
          <w:cantSplit/>
        </w:trPr>
        <w:tc>
          <w:tcPr>
            <w:tcW w:w="6948" w:type="dxa"/>
          </w:tcPr>
          <w:p w:rsidR="0002657A" w:rsidRDefault="0002657A" w:rsidP="0010044E">
            <w:pPr>
              <w:ind w:left="1980" w:hanging="1620"/>
              <w:rPr>
                <w:i/>
                <w:sz w:val="22"/>
                <w:szCs w:val="28"/>
              </w:rPr>
            </w:pPr>
            <w:r>
              <w:rPr>
                <w:i/>
                <w:sz w:val="22"/>
                <w:szCs w:val="28"/>
                <w:u w:val="single"/>
              </w:rPr>
              <w:t>Span of service</w:t>
            </w:r>
            <w:r>
              <w:rPr>
                <w:i/>
                <w:sz w:val="22"/>
                <w:szCs w:val="28"/>
              </w:rPr>
              <w:t xml:space="preserve"> – Analyze available data from surveys that indicate whether minority and low-income riders are more likely to be impacted</w:t>
            </w:r>
          </w:p>
        </w:tc>
        <w:tc>
          <w:tcPr>
            <w:tcW w:w="2358" w:type="dxa"/>
          </w:tcPr>
          <w:p w:rsidR="0002657A" w:rsidRPr="00B03A95" w:rsidRDefault="0002657A" w:rsidP="0010044E">
            <w:pPr>
              <w:ind w:left="72"/>
              <w:jc w:val="center"/>
              <w:rPr>
                <w:sz w:val="22"/>
                <w:szCs w:val="28"/>
              </w:rPr>
            </w:pPr>
            <w:r>
              <w:rPr>
                <w:sz w:val="22"/>
                <w:szCs w:val="28"/>
              </w:rPr>
              <w:t>No</w:t>
            </w:r>
          </w:p>
        </w:tc>
      </w:tr>
      <w:tr w:rsidR="0002657A" w:rsidTr="0010044E">
        <w:trPr>
          <w:cantSplit/>
        </w:trPr>
        <w:tc>
          <w:tcPr>
            <w:tcW w:w="6948" w:type="dxa"/>
          </w:tcPr>
          <w:p w:rsidR="0002657A" w:rsidRDefault="0002657A" w:rsidP="0010044E">
            <w:pPr>
              <w:ind w:left="1980" w:hanging="1620"/>
              <w:rPr>
                <w:i/>
                <w:sz w:val="22"/>
                <w:szCs w:val="28"/>
              </w:rPr>
            </w:pPr>
            <w:r>
              <w:rPr>
                <w:i/>
                <w:sz w:val="22"/>
                <w:szCs w:val="28"/>
                <w:u w:val="single"/>
              </w:rPr>
              <w:t>Fare changes</w:t>
            </w:r>
            <w:r>
              <w:rPr>
                <w:i/>
                <w:sz w:val="22"/>
                <w:szCs w:val="28"/>
              </w:rPr>
              <w:t xml:space="preserve"> – </w:t>
            </w:r>
            <w:r>
              <w:rPr>
                <w:i/>
                <w:sz w:val="22"/>
                <w:szCs w:val="28"/>
              </w:rPr>
              <w:tab/>
              <w:t>Analyze available data from surveys that indicate whether minority and low-income riders are more likely to be impacted</w:t>
            </w:r>
          </w:p>
        </w:tc>
        <w:tc>
          <w:tcPr>
            <w:tcW w:w="2358" w:type="dxa"/>
          </w:tcPr>
          <w:p w:rsidR="0002657A" w:rsidRPr="00B03A95" w:rsidRDefault="00CC7FA5" w:rsidP="0010044E">
            <w:pPr>
              <w:ind w:left="72"/>
              <w:jc w:val="center"/>
              <w:rPr>
                <w:sz w:val="22"/>
                <w:szCs w:val="28"/>
              </w:rPr>
            </w:pPr>
            <w:r>
              <w:rPr>
                <w:sz w:val="22"/>
                <w:szCs w:val="28"/>
              </w:rPr>
              <w:t>Yes</w:t>
            </w:r>
          </w:p>
        </w:tc>
      </w:tr>
      <w:tr w:rsidR="0002657A" w:rsidTr="0010044E">
        <w:trPr>
          <w:cantSplit/>
        </w:trPr>
        <w:tc>
          <w:tcPr>
            <w:tcW w:w="6948" w:type="dxa"/>
          </w:tcPr>
          <w:p w:rsidR="0002657A" w:rsidRDefault="0002657A" w:rsidP="0002657A">
            <w:pPr>
              <w:numPr>
                <w:ilvl w:val="0"/>
                <w:numId w:val="24"/>
              </w:numPr>
              <w:rPr>
                <w:sz w:val="22"/>
                <w:szCs w:val="28"/>
              </w:rPr>
            </w:pPr>
            <w:r>
              <w:rPr>
                <w:sz w:val="22"/>
                <w:szCs w:val="28"/>
              </w:rPr>
              <w:t>ASSESS THE ALTERNATIVES AVAILABLE FOR PEOPLE AFFECTED BY THE FARE INCREASE OF MAJOR SERVICE CHANGE.</w:t>
            </w:r>
          </w:p>
        </w:tc>
        <w:tc>
          <w:tcPr>
            <w:tcW w:w="2358" w:type="dxa"/>
            <w:shd w:val="clear" w:color="auto" w:fill="D9D9D9"/>
          </w:tcPr>
          <w:p w:rsidR="0002657A" w:rsidRPr="00B03A95" w:rsidRDefault="0002657A" w:rsidP="0010044E">
            <w:pPr>
              <w:ind w:left="72"/>
              <w:jc w:val="center"/>
              <w:rPr>
                <w:sz w:val="22"/>
                <w:szCs w:val="28"/>
              </w:rPr>
            </w:pPr>
          </w:p>
        </w:tc>
      </w:tr>
      <w:tr w:rsidR="0002657A" w:rsidTr="0010044E">
        <w:trPr>
          <w:cantSplit/>
        </w:trPr>
        <w:tc>
          <w:tcPr>
            <w:tcW w:w="6948" w:type="dxa"/>
          </w:tcPr>
          <w:p w:rsidR="0002657A" w:rsidRDefault="0002657A" w:rsidP="0010044E">
            <w:pPr>
              <w:tabs>
                <w:tab w:val="left" w:pos="1980"/>
              </w:tabs>
              <w:ind w:left="1980" w:hanging="1620"/>
              <w:rPr>
                <w:i/>
                <w:sz w:val="22"/>
                <w:szCs w:val="28"/>
              </w:rPr>
            </w:pPr>
            <w:r>
              <w:rPr>
                <w:i/>
                <w:sz w:val="22"/>
                <w:szCs w:val="28"/>
                <w:u w:val="single"/>
              </w:rPr>
              <w:t>Service changes</w:t>
            </w:r>
            <w:r>
              <w:rPr>
                <w:i/>
                <w:sz w:val="22"/>
                <w:szCs w:val="28"/>
              </w:rPr>
              <w:t xml:space="preserve"> – Analyze what, if any, modes of transit are available for people affected by the service expansion or reduction.  Analysis should compare travel time and costs to the rider of the alternatives.</w:t>
            </w:r>
          </w:p>
        </w:tc>
        <w:tc>
          <w:tcPr>
            <w:tcW w:w="2358" w:type="dxa"/>
          </w:tcPr>
          <w:p w:rsidR="0002657A" w:rsidRPr="00B03A95" w:rsidRDefault="00CC7FA5" w:rsidP="0010044E">
            <w:pPr>
              <w:tabs>
                <w:tab w:val="left" w:pos="1980"/>
              </w:tabs>
              <w:ind w:left="72"/>
              <w:jc w:val="center"/>
              <w:rPr>
                <w:sz w:val="22"/>
                <w:szCs w:val="28"/>
              </w:rPr>
            </w:pPr>
            <w:r>
              <w:rPr>
                <w:sz w:val="22"/>
                <w:szCs w:val="28"/>
              </w:rPr>
              <w:t>No</w:t>
            </w:r>
          </w:p>
        </w:tc>
      </w:tr>
      <w:tr w:rsidR="0002657A" w:rsidTr="0010044E">
        <w:trPr>
          <w:cantSplit/>
        </w:trPr>
        <w:tc>
          <w:tcPr>
            <w:tcW w:w="6948" w:type="dxa"/>
          </w:tcPr>
          <w:p w:rsidR="0002657A" w:rsidRDefault="0002657A" w:rsidP="0010044E">
            <w:pPr>
              <w:tabs>
                <w:tab w:val="left" w:pos="1980"/>
              </w:tabs>
              <w:ind w:left="1980" w:hanging="1620"/>
              <w:rPr>
                <w:i/>
                <w:sz w:val="22"/>
                <w:szCs w:val="28"/>
              </w:rPr>
            </w:pPr>
            <w:r>
              <w:rPr>
                <w:i/>
                <w:sz w:val="22"/>
                <w:szCs w:val="28"/>
                <w:u w:val="single"/>
              </w:rPr>
              <w:t>Fare changes</w:t>
            </w:r>
            <w:r>
              <w:rPr>
                <w:i/>
                <w:sz w:val="22"/>
                <w:szCs w:val="28"/>
              </w:rPr>
              <w:t xml:space="preserve"> – </w:t>
            </w:r>
            <w:r>
              <w:rPr>
                <w:i/>
                <w:sz w:val="22"/>
                <w:szCs w:val="28"/>
              </w:rPr>
              <w:tab/>
              <w:t>Analyze what, if any, alternative transit modes, fare payment types or fare payment media are available for people affected by the fare change.  Analysis should compare fares paid under the change with fares that would be paid through available alternatives.</w:t>
            </w:r>
          </w:p>
        </w:tc>
        <w:tc>
          <w:tcPr>
            <w:tcW w:w="2358" w:type="dxa"/>
          </w:tcPr>
          <w:p w:rsidR="0002657A" w:rsidRPr="00B03A95" w:rsidRDefault="0002657A" w:rsidP="0010044E">
            <w:pPr>
              <w:tabs>
                <w:tab w:val="left" w:pos="1980"/>
              </w:tabs>
              <w:ind w:left="72"/>
              <w:jc w:val="center"/>
              <w:rPr>
                <w:sz w:val="22"/>
                <w:szCs w:val="28"/>
              </w:rPr>
            </w:pPr>
            <w:r>
              <w:rPr>
                <w:sz w:val="22"/>
                <w:szCs w:val="28"/>
              </w:rPr>
              <w:t>Yes</w:t>
            </w:r>
          </w:p>
        </w:tc>
      </w:tr>
      <w:tr w:rsidR="0002657A" w:rsidTr="0010044E">
        <w:trPr>
          <w:cantSplit/>
        </w:trPr>
        <w:tc>
          <w:tcPr>
            <w:tcW w:w="6948" w:type="dxa"/>
          </w:tcPr>
          <w:p w:rsidR="0002657A" w:rsidRDefault="0002657A" w:rsidP="0002657A">
            <w:pPr>
              <w:numPr>
                <w:ilvl w:val="0"/>
                <w:numId w:val="24"/>
              </w:numPr>
              <w:rPr>
                <w:sz w:val="22"/>
                <w:szCs w:val="28"/>
              </w:rPr>
            </w:pPr>
            <w:r>
              <w:rPr>
                <w:sz w:val="22"/>
                <w:szCs w:val="28"/>
              </w:rPr>
              <w:t>DESCRIBE ACTIONS THE AGENCY PROPOSES TO MINIMIZE, MITIGATE, OR OFFSET ANY ADVERSE EFFECTS OF CHANGES ON MINORITY AND LOW-INCOME POPULATIONS.</w:t>
            </w:r>
          </w:p>
        </w:tc>
        <w:tc>
          <w:tcPr>
            <w:tcW w:w="2358" w:type="dxa"/>
          </w:tcPr>
          <w:p w:rsidR="0002657A" w:rsidRPr="00B03A95" w:rsidRDefault="0002657A" w:rsidP="0010044E">
            <w:pPr>
              <w:ind w:left="72"/>
              <w:jc w:val="center"/>
              <w:rPr>
                <w:sz w:val="22"/>
                <w:szCs w:val="28"/>
              </w:rPr>
            </w:pPr>
            <w:r>
              <w:rPr>
                <w:sz w:val="22"/>
                <w:szCs w:val="28"/>
              </w:rPr>
              <w:t>No</w:t>
            </w:r>
            <w:r w:rsidR="00CC7FA5">
              <w:rPr>
                <w:sz w:val="22"/>
                <w:szCs w:val="28"/>
              </w:rPr>
              <w:t xml:space="preserve"> for Service Changes</w:t>
            </w:r>
          </w:p>
        </w:tc>
      </w:tr>
      <w:tr w:rsidR="0002657A" w:rsidTr="0010044E">
        <w:trPr>
          <w:cantSplit/>
        </w:trPr>
        <w:tc>
          <w:tcPr>
            <w:tcW w:w="6948" w:type="dxa"/>
          </w:tcPr>
          <w:p w:rsidR="0002657A" w:rsidRDefault="0002657A" w:rsidP="0002657A">
            <w:pPr>
              <w:numPr>
                <w:ilvl w:val="0"/>
                <w:numId w:val="24"/>
              </w:numPr>
              <w:rPr>
                <w:sz w:val="22"/>
                <w:szCs w:val="28"/>
              </w:rPr>
            </w:pPr>
            <w:r>
              <w:rPr>
                <w:sz w:val="22"/>
                <w:szCs w:val="28"/>
              </w:rPr>
              <w:t>DETERMINE ANY DISPROPORTIONATELY HIGH AND ADVERSE EFFECTS ON MINORITY AND LOW-INCOME RIDERS.  IF ANY, DESCRIBE THAT ALTERNATIVES WOULD HAVE MORE SEVERE ADVERSE EFFECTS THAN THE PREFERRED ALTERNATIVE</w:t>
            </w:r>
          </w:p>
        </w:tc>
        <w:tc>
          <w:tcPr>
            <w:tcW w:w="2358" w:type="dxa"/>
          </w:tcPr>
          <w:p w:rsidR="0002657A" w:rsidRPr="00B03A95" w:rsidRDefault="0002657A" w:rsidP="0010044E">
            <w:pPr>
              <w:ind w:left="72"/>
              <w:jc w:val="center"/>
              <w:rPr>
                <w:sz w:val="22"/>
                <w:szCs w:val="28"/>
              </w:rPr>
            </w:pPr>
            <w:r>
              <w:rPr>
                <w:sz w:val="22"/>
                <w:szCs w:val="28"/>
              </w:rPr>
              <w:t>No</w:t>
            </w:r>
            <w:r w:rsidR="00CC7FA5">
              <w:rPr>
                <w:sz w:val="22"/>
                <w:szCs w:val="28"/>
              </w:rPr>
              <w:t xml:space="preserve"> for Service Changes</w:t>
            </w:r>
          </w:p>
        </w:tc>
      </w:tr>
    </w:tbl>
    <w:p w:rsidR="004A054E" w:rsidRDefault="004A054E">
      <w:pPr>
        <w:spacing w:line="360" w:lineRule="auto"/>
        <w:rPr>
          <w:b/>
          <w:bCs/>
          <w:sz w:val="28"/>
          <w:szCs w:val="28"/>
        </w:rPr>
      </w:pPr>
    </w:p>
    <w:p w:rsidR="0002657A" w:rsidRDefault="00FC2F6C">
      <w:pPr>
        <w:spacing w:line="360" w:lineRule="auto"/>
        <w:rPr>
          <w:sz w:val="28"/>
          <w:szCs w:val="28"/>
        </w:rPr>
      </w:pPr>
      <w:r>
        <w:rPr>
          <w:b/>
          <w:bCs/>
          <w:sz w:val="28"/>
          <w:szCs w:val="28"/>
        </w:rPr>
        <w:t xml:space="preserve">Corrective Actions and Schedules: </w:t>
      </w:r>
      <w:r>
        <w:rPr>
          <w:sz w:val="28"/>
          <w:szCs w:val="28"/>
        </w:rPr>
        <w:t xml:space="preserve">Within 120 days, Transfort must submit to the FTA </w:t>
      </w:r>
      <w:r w:rsidR="002276E8">
        <w:rPr>
          <w:sz w:val="28"/>
          <w:szCs w:val="28"/>
        </w:rPr>
        <w:t xml:space="preserve">Headquarters </w:t>
      </w:r>
      <w:r>
        <w:rPr>
          <w:sz w:val="28"/>
          <w:szCs w:val="28"/>
        </w:rPr>
        <w:t xml:space="preserve">Civil </w:t>
      </w:r>
      <w:r w:rsidRPr="004A054E">
        <w:rPr>
          <w:sz w:val="28"/>
          <w:szCs w:val="28"/>
        </w:rPr>
        <w:t>Rights</w:t>
      </w:r>
      <w:r>
        <w:rPr>
          <w:sz w:val="28"/>
          <w:szCs w:val="28"/>
        </w:rPr>
        <w:t xml:space="preserve"> </w:t>
      </w:r>
      <w:r w:rsidR="002276E8">
        <w:rPr>
          <w:sz w:val="28"/>
          <w:szCs w:val="28"/>
        </w:rPr>
        <w:t>Equal Opportunity Specialist</w:t>
      </w:r>
      <w:r w:rsidR="0002657A">
        <w:rPr>
          <w:sz w:val="28"/>
          <w:szCs w:val="28"/>
        </w:rPr>
        <w:t>:</w:t>
      </w:r>
    </w:p>
    <w:p w:rsidR="00FC2F6C" w:rsidRDefault="0002657A" w:rsidP="00B4669F">
      <w:pPr>
        <w:pStyle w:val="ListParagraph"/>
        <w:numPr>
          <w:ilvl w:val="0"/>
          <w:numId w:val="25"/>
        </w:numPr>
        <w:ind w:left="778"/>
        <w:rPr>
          <w:sz w:val="28"/>
          <w:szCs w:val="28"/>
        </w:rPr>
      </w:pPr>
      <w:r>
        <w:rPr>
          <w:sz w:val="28"/>
          <w:szCs w:val="28"/>
        </w:rPr>
        <w:t>R</w:t>
      </w:r>
      <w:r w:rsidRPr="0002657A">
        <w:rPr>
          <w:sz w:val="28"/>
          <w:szCs w:val="28"/>
        </w:rPr>
        <w:t>evised</w:t>
      </w:r>
      <w:r w:rsidR="00FC2F6C" w:rsidRPr="0002657A">
        <w:rPr>
          <w:sz w:val="28"/>
          <w:szCs w:val="28"/>
        </w:rPr>
        <w:t xml:space="preserve"> </w:t>
      </w:r>
      <w:r w:rsidR="00CC7FA5">
        <w:rPr>
          <w:sz w:val="28"/>
          <w:szCs w:val="28"/>
        </w:rPr>
        <w:t>Service Change Policy</w:t>
      </w:r>
      <w:r w:rsidR="00FC2F6C" w:rsidRPr="0002657A">
        <w:rPr>
          <w:sz w:val="28"/>
          <w:szCs w:val="28"/>
        </w:rPr>
        <w:t xml:space="preserve"> to conduct equity evaluations of service and fare changes, as required in FTA Circular 4702.1A.</w:t>
      </w:r>
    </w:p>
    <w:p w:rsidR="0002657A" w:rsidRPr="0002657A" w:rsidRDefault="0002657A" w:rsidP="00B4669F">
      <w:pPr>
        <w:pStyle w:val="ListParagraph"/>
        <w:numPr>
          <w:ilvl w:val="0"/>
          <w:numId w:val="25"/>
        </w:numPr>
        <w:ind w:left="778"/>
        <w:rPr>
          <w:sz w:val="28"/>
          <w:szCs w:val="28"/>
        </w:rPr>
      </w:pPr>
      <w:r w:rsidRPr="0002657A">
        <w:rPr>
          <w:sz w:val="28"/>
          <w:szCs w:val="28"/>
        </w:rPr>
        <w:t xml:space="preserve">Written equity evaluation of the impact of the </w:t>
      </w:r>
      <w:r w:rsidR="00CC7FA5">
        <w:rPr>
          <w:sz w:val="28"/>
          <w:szCs w:val="28"/>
        </w:rPr>
        <w:t xml:space="preserve">service change resulting from the implementation of the </w:t>
      </w:r>
      <w:r w:rsidRPr="0002657A">
        <w:rPr>
          <w:sz w:val="28"/>
          <w:szCs w:val="28"/>
        </w:rPr>
        <w:t xml:space="preserve">Mason Express Bus Rapid Transit project. </w:t>
      </w:r>
    </w:p>
    <w:p w:rsidR="0002657A" w:rsidRDefault="0002657A" w:rsidP="0002657A">
      <w:pPr>
        <w:pStyle w:val="ListParagraph"/>
        <w:spacing w:line="360" w:lineRule="auto"/>
        <w:ind w:left="784"/>
        <w:rPr>
          <w:sz w:val="28"/>
          <w:szCs w:val="28"/>
        </w:rPr>
      </w:pPr>
    </w:p>
    <w:p w:rsidR="00FC2F6C" w:rsidRDefault="00FC2F6C">
      <w:pPr>
        <w:pStyle w:val="BHLevel2"/>
      </w:pPr>
      <w:bookmarkStart w:id="24" w:name="_Toc201633553"/>
      <w:r>
        <w:lastRenderedPageBreak/>
        <w:t>Monitoring Transit Service</w:t>
      </w:r>
      <w:bookmarkEnd w:id="24"/>
    </w:p>
    <w:p w:rsidR="00FC2F6C" w:rsidRDefault="00FC2F6C"/>
    <w:p w:rsidR="00FC2F6C" w:rsidRDefault="00FC2F6C">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FC2F6C" w:rsidRDefault="00FC2F6C">
      <w:pPr>
        <w:spacing w:line="360" w:lineRule="auto"/>
        <w:rPr>
          <w:sz w:val="28"/>
          <w:szCs w:val="28"/>
        </w:rPr>
      </w:pPr>
    </w:p>
    <w:p w:rsidR="00FC2F6C" w:rsidRDefault="00FC2F6C">
      <w:pPr>
        <w:spacing w:line="360" w:lineRule="auto"/>
        <w:rPr>
          <w:sz w:val="28"/>
          <w:szCs w:val="28"/>
        </w:rPr>
      </w:pPr>
      <w:r>
        <w:rPr>
          <w:b/>
          <w:sz w:val="28"/>
          <w:szCs w:val="28"/>
        </w:rPr>
        <w:t xml:space="preserve">Findings: </w:t>
      </w:r>
      <w:r>
        <w:rPr>
          <w:sz w:val="28"/>
          <w:szCs w:val="28"/>
        </w:rPr>
        <w:t xml:space="preserve">During this Title VI Compliance Review of Transfort, deficiencies were found regarding Transfort’s compliance with FTA requirements for Monitoring Transit Service. </w:t>
      </w:r>
      <w:bookmarkStart w:id="25" w:name="_Toc453032740"/>
      <w:r>
        <w:rPr>
          <w:sz w:val="28"/>
          <w:szCs w:val="28"/>
        </w:rPr>
        <w:t xml:space="preserve"> As of the site visit, Transfort did not have a Title VI transit monitoring program</w:t>
      </w:r>
      <w:r w:rsidR="008F7AF3">
        <w:rPr>
          <w:sz w:val="28"/>
          <w:szCs w:val="28"/>
        </w:rPr>
        <w:t xml:space="preserve"> to compare the level and quality of service and amenities, such as bus shelters, provided to</w:t>
      </w:r>
      <w:r w:rsidR="008F7AF3" w:rsidRPr="008F7AF3">
        <w:rPr>
          <w:bCs/>
          <w:i/>
          <w:iCs/>
          <w:sz w:val="28"/>
        </w:rPr>
        <w:t xml:space="preserve"> </w:t>
      </w:r>
      <w:r w:rsidR="008F7AF3" w:rsidRPr="008F7AF3">
        <w:rPr>
          <w:bCs/>
          <w:iCs/>
          <w:sz w:val="28"/>
        </w:rPr>
        <w:t xml:space="preserve">predominantly minority areas with service </w:t>
      </w:r>
      <w:r w:rsidR="008F7AF3">
        <w:rPr>
          <w:bCs/>
          <w:iCs/>
          <w:sz w:val="28"/>
        </w:rPr>
        <w:t xml:space="preserve">and amenities </w:t>
      </w:r>
      <w:r w:rsidR="008F7AF3" w:rsidRPr="008F7AF3">
        <w:rPr>
          <w:bCs/>
          <w:iCs/>
          <w:sz w:val="28"/>
        </w:rPr>
        <w:t>provided in other areas to ensure that the end result of policies and decision-making is equitable service.</w:t>
      </w:r>
      <w:r w:rsidR="008F7AF3">
        <w:rPr>
          <w:bCs/>
          <w:i/>
          <w:iCs/>
          <w:sz w:val="28"/>
        </w:rPr>
        <w:t xml:space="preserve">  </w:t>
      </w:r>
      <w:r w:rsidR="008F7AF3">
        <w:rPr>
          <w:sz w:val="28"/>
          <w:szCs w:val="28"/>
        </w:rPr>
        <w:t xml:space="preserve"> </w:t>
      </w:r>
      <w:r>
        <w:rPr>
          <w:sz w:val="28"/>
          <w:szCs w:val="28"/>
        </w:rPr>
        <w:t>During the Review, Transfort provided a document entitled “Transfort Strategic Operations Plan Update” dated August 2009.  As previously mentioned, Section 7.6 of the Strategic Plan had a list of Transfort’s future action items.  Included in the list of action items was the following:</w:t>
      </w:r>
    </w:p>
    <w:p w:rsidR="00FC2F6C" w:rsidRPr="00D4442A" w:rsidRDefault="00FC2F6C" w:rsidP="00D4442A">
      <w:pPr>
        <w:ind w:left="720"/>
        <w:rPr>
          <w:i/>
          <w:sz w:val="28"/>
          <w:szCs w:val="28"/>
        </w:rPr>
      </w:pPr>
      <w:r>
        <w:rPr>
          <w:sz w:val="28"/>
          <w:szCs w:val="28"/>
        </w:rPr>
        <w:t xml:space="preserve"> </w:t>
      </w:r>
      <w:r w:rsidRPr="00D4442A">
        <w:rPr>
          <w:i/>
          <w:sz w:val="28"/>
          <w:szCs w:val="28"/>
        </w:rPr>
        <w:t>Develop new performance standards and a formalized transit system performance monitoring program.</w:t>
      </w:r>
    </w:p>
    <w:p w:rsidR="00FC2F6C" w:rsidRDefault="00FC2F6C">
      <w:pPr>
        <w:spacing w:line="360" w:lineRule="auto"/>
        <w:rPr>
          <w:sz w:val="28"/>
          <w:szCs w:val="28"/>
        </w:rPr>
      </w:pPr>
    </w:p>
    <w:p w:rsidR="00FC2F6C" w:rsidRDefault="00FC2F6C">
      <w:pPr>
        <w:spacing w:line="360" w:lineRule="auto"/>
        <w:rPr>
          <w:sz w:val="28"/>
          <w:szCs w:val="28"/>
        </w:rPr>
      </w:pPr>
      <w:r>
        <w:rPr>
          <w:sz w:val="28"/>
          <w:szCs w:val="28"/>
        </w:rPr>
        <w:t>Transfort indicated that it would include Title VI considerations in the performance monitoring program.</w:t>
      </w:r>
    </w:p>
    <w:p w:rsidR="00FC2F6C" w:rsidRDefault="00FC2F6C">
      <w:pPr>
        <w:spacing w:line="360" w:lineRule="auto"/>
        <w:rPr>
          <w:b/>
          <w:sz w:val="28"/>
          <w:szCs w:val="28"/>
        </w:rPr>
      </w:pPr>
      <w:bookmarkStart w:id="26" w:name="_Toc106790255"/>
    </w:p>
    <w:p w:rsidR="00B4669F" w:rsidRDefault="00B4669F">
      <w:pPr>
        <w:spacing w:line="360" w:lineRule="auto"/>
        <w:rPr>
          <w:sz w:val="28"/>
          <w:szCs w:val="28"/>
        </w:rPr>
      </w:pPr>
      <w:r w:rsidRPr="00B4669F">
        <w:rPr>
          <w:sz w:val="28"/>
          <w:szCs w:val="28"/>
        </w:rPr>
        <w:t>Following the issuance</w:t>
      </w:r>
      <w:r>
        <w:rPr>
          <w:sz w:val="28"/>
          <w:szCs w:val="28"/>
        </w:rPr>
        <w:t xml:space="preserve"> of the draft report, Transfort submitted selected results from the </w:t>
      </w:r>
      <w:r w:rsidRPr="00B4669F">
        <w:rPr>
          <w:i/>
          <w:sz w:val="28"/>
          <w:szCs w:val="28"/>
        </w:rPr>
        <w:t>Transfort 2008 Transit Survey</w:t>
      </w:r>
      <w:r>
        <w:rPr>
          <w:sz w:val="28"/>
          <w:szCs w:val="28"/>
        </w:rPr>
        <w:t xml:space="preserve">.  Transfort stated: </w:t>
      </w:r>
    </w:p>
    <w:p w:rsidR="00B4669F" w:rsidRDefault="00B4669F" w:rsidP="00F96013">
      <w:pPr>
        <w:ind w:left="720"/>
        <w:rPr>
          <w:sz w:val="28"/>
          <w:szCs w:val="28"/>
        </w:rPr>
      </w:pPr>
      <w:r w:rsidRPr="00F96013">
        <w:rPr>
          <w:i/>
          <w:sz w:val="28"/>
          <w:szCs w:val="28"/>
        </w:rPr>
        <w:lastRenderedPageBreak/>
        <w:t>The purpose of the analysis of this survey is to compare customer satisfaction survey responses from individuals who identify themselves as minority groups and/or in low-income brackets with other respondents</w:t>
      </w:r>
      <w:r>
        <w:rPr>
          <w:sz w:val="28"/>
          <w:szCs w:val="28"/>
        </w:rPr>
        <w:t>.</w:t>
      </w:r>
    </w:p>
    <w:p w:rsidR="00F96013" w:rsidRDefault="00F96013" w:rsidP="00F96013">
      <w:pPr>
        <w:rPr>
          <w:sz w:val="28"/>
          <w:szCs w:val="28"/>
        </w:rPr>
      </w:pPr>
    </w:p>
    <w:p w:rsidR="00F96013" w:rsidRDefault="00F96013" w:rsidP="00F96013">
      <w:pPr>
        <w:spacing w:line="360" w:lineRule="auto"/>
        <w:rPr>
          <w:sz w:val="28"/>
          <w:szCs w:val="28"/>
        </w:rPr>
      </w:pPr>
      <w:r>
        <w:rPr>
          <w:sz w:val="28"/>
          <w:szCs w:val="28"/>
        </w:rPr>
        <w:t xml:space="preserve">The results submitted by Transfort did not contain any racial or ethnicity data.  It did contain individual and household income data.  However, Transfort did not summarize the relative satisfaction levels between </w:t>
      </w:r>
      <w:r w:rsidR="00D14D97">
        <w:rPr>
          <w:sz w:val="28"/>
          <w:szCs w:val="28"/>
        </w:rPr>
        <w:t xml:space="preserve">the </w:t>
      </w:r>
      <w:r>
        <w:rPr>
          <w:sz w:val="28"/>
          <w:szCs w:val="28"/>
        </w:rPr>
        <w:t xml:space="preserve">low-income and non-low income communities. The data did identify the percentage of respondents by income level that indicated their satisfaction on a scale of very satisfied to </w:t>
      </w:r>
      <w:r w:rsidR="003C0555">
        <w:rPr>
          <w:sz w:val="28"/>
          <w:szCs w:val="28"/>
        </w:rPr>
        <w:t>diss</w:t>
      </w:r>
      <w:r>
        <w:rPr>
          <w:sz w:val="28"/>
          <w:szCs w:val="28"/>
        </w:rPr>
        <w:t>atisfied.  In each category, the low-income respondents represented the largest percentage of respondents, probably due to the fact that 60 percent of Transfort customers report</w:t>
      </w:r>
      <w:r w:rsidR="00D14D97">
        <w:rPr>
          <w:sz w:val="28"/>
          <w:szCs w:val="28"/>
        </w:rPr>
        <w:t>ed</w:t>
      </w:r>
      <w:r>
        <w:rPr>
          <w:sz w:val="28"/>
          <w:szCs w:val="28"/>
        </w:rPr>
        <w:t xml:space="preserve"> income of less than $20,000 per year.  </w:t>
      </w:r>
      <w:r w:rsidR="003C0555">
        <w:rPr>
          <w:sz w:val="28"/>
          <w:szCs w:val="28"/>
        </w:rPr>
        <w:t xml:space="preserve">The data provided did not show if low-income persons were more or less satisfied with Transfort services than non-low income persons.  </w:t>
      </w:r>
    </w:p>
    <w:p w:rsidR="00F96013" w:rsidRDefault="00F96013" w:rsidP="00F96013">
      <w:pPr>
        <w:spacing w:line="360" w:lineRule="auto"/>
        <w:rPr>
          <w:sz w:val="28"/>
          <w:szCs w:val="28"/>
        </w:rPr>
      </w:pPr>
    </w:p>
    <w:p w:rsidR="00F96013" w:rsidRDefault="00F96013" w:rsidP="00F96013">
      <w:pPr>
        <w:spacing w:line="360" w:lineRule="auto"/>
        <w:rPr>
          <w:sz w:val="28"/>
          <w:szCs w:val="28"/>
        </w:rPr>
      </w:pPr>
      <w:r>
        <w:rPr>
          <w:sz w:val="28"/>
          <w:szCs w:val="28"/>
        </w:rPr>
        <w:t>By utilizing rider survey results as the mechanism for monitoring transit service, Transfort has adopted the Option C methodology contained in FTA Circular 4702.1A.  As described below, the following are the required elements for this methodology:</w:t>
      </w:r>
    </w:p>
    <w:p w:rsidR="00F96013" w:rsidRDefault="00F96013" w:rsidP="00F9601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3C0555" w:rsidTr="0010044E">
        <w:trPr>
          <w:cantSplit/>
          <w:trHeight w:val="561"/>
        </w:trPr>
        <w:tc>
          <w:tcPr>
            <w:tcW w:w="9306" w:type="dxa"/>
            <w:tcBorders>
              <w:bottom w:val="single" w:sz="4" w:space="0" w:color="000000"/>
            </w:tcBorders>
          </w:tcPr>
          <w:p w:rsidR="003C0555" w:rsidRPr="008043A7" w:rsidRDefault="003C0555" w:rsidP="0010044E">
            <w:pPr>
              <w:jc w:val="center"/>
              <w:rPr>
                <w:b/>
                <w:bCs/>
                <w:sz w:val="24"/>
                <w:szCs w:val="28"/>
              </w:rPr>
            </w:pPr>
            <w:r w:rsidRPr="008043A7">
              <w:rPr>
                <w:b/>
                <w:bCs/>
                <w:sz w:val="24"/>
                <w:szCs w:val="28"/>
              </w:rPr>
              <w:t>ELEMENTS REQUIRED FOR MONITORING – OPTION C: TITLE VI ANALYSIS OF CUSTOMER SUVEYS (PER FTA C. 4702.1A, V, 5. c.)</w:t>
            </w:r>
          </w:p>
        </w:tc>
      </w:tr>
      <w:tr w:rsidR="003C0555" w:rsidTr="0010044E">
        <w:trPr>
          <w:cantSplit/>
        </w:trPr>
        <w:tc>
          <w:tcPr>
            <w:tcW w:w="9306" w:type="dxa"/>
          </w:tcPr>
          <w:p w:rsidR="003C0555" w:rsidRPr="008043A7" w:rsidRDefault="003C0555" w:rsidP="003C0555">
            <w:pPr>
              <w:numPr>
                <w:ilvl w:val="0"/>
                <w:numId w:val="26"/>
              </w:numPr>
              <w:rPr>
                <w:sz w:val="22"/>
                <w:szCs w:val="28"/>
              </w:rPr>
            </w:pPr>
            <w:r w:rsidRPr="008043A7">
              <w:t>For their most recent passenger survey, recipients should compare the responses from individuals who identified themselves as members of minority groups and/or in low-income brackets, and the responses of those who identified themselves as white and/or in middle and upper-income brackets.</w:t>
            </w:r>
          </w:p>
        </w:tc>
      </w:tr>
      <w:tr w:rsidR="003C0555" w:rsidTr="0010044E">
        <w:trPr>
          <w:cantSplit/>
        </w:trPr>
        <w:tc>
          <w:tcPr>
            <w:tcW w:w="9306" w:type="dxa"/>
          </w:tcPr>
          <w:p w:rsidR="003C0555" w:rsidRPr="008043A7" w:rsidRDefault="003C0555" w:rsidP="003C0555">
            <w:pPr>
              <w:numPr>
                <w:ilvl w:val="0"/>
                <w:numId w:val="26"/>
              </w:numPr>
              <w:rPr>
                <w:sz w:val="22"/>
                <w:szCs w:val="28"/>
              </w:rPr>
            </w:pPr>
            <w:r w:rsidRPr="008043A7">
              <w:t xml:space="preserve">To the extent that survey data is available, recipients should determine whether the different demographic groups report significant differences in the travel time, number of transfers, and overall cost of the trip or if different demographic groups gave significantly different responses when asked to rate the quality of service, such as their satisfaction with the system, willingness to recommend transit to others, and value for fare paid. </w:t>
            </w:r>
          </w:p>
        </w:tc>
      </w:tr>
      <w:tr w:rsidR="003C0555" w:rsidTr="0010044E">
        <w:trPr>
          <w:cantSplit/>
        </w:trPr>
        <w:tc>
          <w:tcPr>
            <w:tcW w:w="9306" w:type="dxa"/>
          </w:tcPr>
          <w:p w:rsidR="003C0555" w:rsidRPr="008043A7" w:rsidRDefault="003C0555" w:rsidP="003C0555">
            <w:pPr>
              <w:pStyle w:val="ListParagraph"/>
              <w:numPr>
                <w:ilvl w:val="0"/>
                <w:numId w:val="26"/>
              </w:numPr>
              <w:rPr>
                <w:sz w:val="28"/>
                <w:szCs w:val="28"/>
              </w:rPr>
            </w:pPr>
            <w:r w:rsidRPr="008043A7">
              <w:t>If the agency concludes that different demographic groups gave significantly different responses, it should take corrective action to address the disparities</w:t>
            </w:r>
          </w:p>
        </w:tc>
      </w:tr>
    </w:tbl>
    <w:p w:rsidR="00F96013" w:rsidRDefault="00F96013" w:rsidP="00F96013">
      <w:pPr>
        <w:rPr>
          <w:sz w:val="28"/>
          <w:szCs w:val="28"/>
        </w:rPr>
      </w:pPr>
    </w:p>
    <w:p w:rsidR="00F96013" w:rsidRDefault="003C0555" w:rsidP="00F96013">
      <w:pPr>
        <w:rPr>
          <w:sz w:val="28"/>
          <w:szCs w:val="28"/>
        </w:rPr>
      </w:pPr>
      <w:r>
        <w:rPr>
          <w:sz w:val="28"/>
          <w:szCs w:val="28"/>
        </w:rPr>
        <w:t>The analysis provided by Transfort did not meet these FTA requirements.</w:t>
      </w:r>
    </w:p>
    <w:p w:rsidR="003C0555" w:rsidRPr="00B4669F" w:rsidRDefault="003C0555" w:rsidP="00F96013">
      <w:pPr>
        <w:rPr>
          <w:sz w:val="28"/>
          <w:szCs w:val="28"/>
        </w:rPr>
      </w:pPr>
    </w:p>
    <w:p w:rsidR="00FC2F6C" w:rsidRDefault="00FC2F6C">
      <w:pPr>
        <w:spacing w:line="360" w:lineRule="auto"/>
        <w:rPr>
          <w:sz w:val="28"/>
          <w:szCs w:val="28"/>
        </w:rPr>
      </w:pPr>
      <w:r>
        <w:rPr>
          <w:b/>
          <w:sz w:val="28"/>
          <w:szCs w:val="28"/>
        </w:rPr>
        <w:t>Corrective Actions and Schedules</w:t>
      </w:r>
      <w:r>
        <w:rPr>
          <w:sz w:val="28"/>
          <w:szCs w:val="28"/>
        </w:rPr>
        <w:t xml:space="preserve">:  Within 120 days, Transfort must submit to the FTA </w:t>
      </w:r>
      <w:r w:rsidR="002276E8">
        <w:rPr>
          <w:sz w:val="28"/>
          <w:szCs w:val="28"/>
        </w:rPr>
        <w:t xml:space="preserve">Headquarters Civil </w:t>
      </w:r>
      <w:r w:rsidR="002276E8" w:rsidRPr="004A054E">
        <w:rPr>
          <w:sz w:val="28"/>
          <w:szCs w:val="28"/>
        </w:rPr>
        <w:t>Rights</w:t>
      </w:r>
      <w:r w:rsidR="002276E8">
        <w:rPr>
          <w:sz w:val="28"/>
          <w:szCs w:val="28"/>
        </w:rPr>
        <w:t xml:space="preserve"> Equal Opportunity Specialist </w:t>
      </w:r>
      <w:r>
        <w:rPr>
          <w:sz w:val="28"/>
          <w:szCs w:val="28"/>
        </w:rPr>
        <w:t xml:space="preserve">documentation that it has </w:t>
      </w:r>
      <w:r w:rsidR="003C0555">
        <w:rPr>
          <w:sz w:val="28"/>
          <w:szCs w:val="28"/>
        </w:rPr>
        <w:t>conducted</w:t>
      </w:r>
      <w:r>
        <w:rPr>
          <w:sz w:val="28"/>
          <w:szCs w:val="28"/>
        </w:rPr>
        <w:t xml:space="preserve"> transit monitoring, </w:t>
      </w:r>
      <w:r w:rsidR="003C0555">
        <w:rPr>
          <w:sz w:val="28"/>
          <w:szCs w:val="28"/>
        </w:rPr>
        <w:t xml:space="preserve">in accordance with </w:t>
      </w:r>
      <w:r>
        <w:rPr>
          <w:sz w:val="28"/>
          <w:szCs w:val="28"/>
        </w:rPr>
        <w:t>FTA Circular 4702.1A.</w:t>
      </w:r>
    </w:p>
    <w:p w:rsidR="00FC2F6C" w:rsidRDefault="00FC2F6C">
      <w:pPr>
        <w:spacing w:line="360" w:lineRule="auto"/>
        <w:rPr>
          <w:sz w:val="28"/>
          <w:szCs w:val="28"/>
        </w:rPr>
      </w:pPr>
    </w:p>
    <w:p w:rsidR="00FC2F6C" w:rsidRDefault="00FC2F6C">
      <w:pPr>
        <w:spacing w:line="360" w:lineRule="auto"/>
        <w:rPr>
          <w:b/>
          <w:caps/>
          <w:sz w:val="28"/>
          <w:szCs w:val="28"/>
        </w:rPr>
      </w:pPr>
      <w:r>
        <w:rPr>
          <w:b/>
          <w:caps/>
          <w:sz w:val="28"/>
          <w:szCs w:val="28"/>
        </w:rPr>
        <w:br w:type="page"/>
      </w:r>
      <w:r>
        <w:rPr>
          <w:b/>
          <w:caps/>
          <w:sz w:val="28"/>
          <w:szCs w:val="28"/>
        </w:rPr>
        <w:lastRenderedPageBreak/>
        <w:t>VII.</w:t>
      </w:r>
      <w:r>
        <w:rPr>
          <w:b/>
          <w:caps/>
          <w:sz w:val="28"/>
          <w:szCs w:val="28"/>
        </w:rPr>
        <w:tab/>
        <w:t>SUMMARY OF FINDINGS AND CORRECTIVE ACTIONS</w:t>
      </w:r>
      <w:bookmarkEnd w:id="25"/>
      <w:bookmarkEnd w:id="26"/>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250"/>
        <w:gridCol w:w="2430"/>
        <w:gridCol w:w="1260"/>
        <w:gridCol w:w="1140"/>
      </w:tblGrid>
      <w:tr w:rsidR="00FC2F6C">
        <w:trPr>
          <w:tblHeader/>
        </w:trPr>
        <w:tc>
          <w:tcPr>
            <w:tcW w:w="2430" w:type="dxa"/>
            <w:tcBorders>
              <w:top w:val="double" w:sz="6" w:space="0" w:color="auto"/>
              <w:bottom w:val="double" w:sz="6" w:space="0" w:color="auto"/>
            </w:tcBorders>
            <w:shd w:val="pct10" w:color="auto" w:fill="auto"/>
            <w:vAlign w:val="center"/>
          </w:tcPr>
          <w:p w:rsidR="00FC2F6C" w:rsidRDefault="00FC2F6C">
            <w:pPr>
              <w:spacing w:before="60" w:after="60"/>
              <w:jc w:val="center"/>
              <w:rPr>
                <w:b/>
                <w:sz w:val="22"/>
              </w:rPr>
            </w:pPr>
            <w:r>
              <w:rPr>
                <w:b/>
                <w:sz w:val="22"/>
              </w:rPr>
              <w:t>Title VI Requirements For Transit Providers</w:t>
            </w:r>
          </w:p>
        </w:tc>
        <w:tc>
          <w:tcPr>
            <w:tcW w:w="1080" w:type="dxa"/>
            <w:tcBorders>
              <w:top w:val="double" w:sz="6" w:space="0" w:color="auto"/>
              <w:bottom w:val="double" w:sz="6" w:space="0" w:color="auto"/>
            </w:tcBorders>
            <w:shd w:val="pct10" w:color="auto" w:fill="auto"/>
            <w:vAlign w:val="center"/>
          </w:tcPr>
          <w:p w:rsidR="00FC2F6C" w:rsidRDefault="00FC2F6C">
            <w:pPr>
              <w:spacing w:before="60" w:after="60"/>
              <w:jc w:val="center"/>
              <w:rPr>
                <w:b/>
                <w:sz w:val="22"/>
              </w:rPr>
            </w:pPr>
            <w:r>
              <w:rPr>
                <w:b/>
                <w:sz w:val="22"/>
              </w:rPr>
              <w:t>Findings</w:t>
            </w:r>
          </w:p>
        </w:tc>
        <w:tc>
          <w:tcPr>
            <w:tcW w:w="2250" w:type="dxa"/>
            <w:tcBorders>
              <w:top w:val="double" w:sz="6" w:space="0" w:color="auto"/>
              <w:bottom w:val="double" w:sz="6" w:space="0" w:color="auto"/>
            </w:tcBorders>
            <w:shd w:val="pct10" w:color="auto" w:fill="auto"/>
            <w:vAlign w:val="center"/>
          </w:tcPr>
          <w:p w:rsidR="00FC2F6C" w:rsidRDefault="00FC2F6C">
            <w:pPr>
              <w:spacing w:before="60" w:after="60"/>
              <w:jc w:val="center"/>
              <w:rPr>
                <w:b/>
                <w:sz w:val="22"/>
              </w:rPr>
            </w:pPr>
            <w:r>
              <w:rPr>
                <w:b/>
                <w:sz w:val="22"/>
              </w:rPr>
              <w:t>Description of Deficiencies</w:t>
            </w:r>
          </w:p>
        </w:tc>
        <w:tc>
          <w:tcPr>
            <w:tcW w:w="2430" w:type="dxa"/>
            <w:tcBorders>
              <w:top w:val="double" w:sz="6" w:space="0" w:color="auto"/>
              <w:bottom w:val="double" w:sz="6" w:space="0" w:color="auto"/>
            </w:tcBorders>
            <w:shd w:val="pct10" w:color="auto" w:fill="auto"/>
            <w:vAlign w:val="center"/>
          </w:tcPr>
          <w:p w:rsidR="00FC2F6C" w:rsidRDefault="00FC2F6C">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C2F6C" w:rsidRDefault="00FC2F6C">
            <w:pPr>
              <w:spacing w:before="60" w:after="60"/>
              <w:jc w:val="center"/>
              <w:rPr>
                <w:b/>
                <w:sz w:val="22"/>
              </w:rPr>
            </w:pPr>
            <w:r>
              <w:rPr>
                <w:b/>
                <w:sz w:val="22"/>
              </w:rPr>
              <w:t>Response Days/Date</w:t>
            </w:r>
          </w:p>
        </w:tc>
        <w:tc>
          <w:tcPr>
            <w:tcW w:w="1140" w:type="dxa"/>
            <w:tcBorders>
              <w:top w:val="double" w:sz="6" w:space="0" w:color="auto"/>
              <w:bottom w:val="double" w:sz="6" w:space="0" w:color="auto"/>
            </w:tcBorders>
            <w:shd w:val="pct10" w:color="auto" w:fill="auto"/>
            <w:vAlign w:val="center"/>
          </w:tcPr>
          <w:p w:rsidR="00FC2F6C" w:rsidRDefault="00FC2F6C">
            <w:pPr>
              <w:spacing w:before="60" w:after="60"/>
              <w:jc w:val="center"/>
              <w:rPr>
                <w:b/>
                <w:sz w:val="22"/>
              </w:rPr>
            </w:pPr>
            <w:r>
              <w:rPr>
                <w:b/>
                <w:sz w:val="22"/>
              </w:rPr>
              <w:t>Date Closed</w:t>
            </w:r>
          </w:p>
        </w:tc>
      </w:tr>
      <w:tr w:rsidR="00FC2F6C">
        <w:tc>
          <w:tcPr>
            <w:tcW w:w="10590" w:type="dxa"/>
            <w:gridSpan w:val="6"/>
            <w:tcBorders>
              <w:top w:val="nil"/>
            </w:tcBorders>
          </w:tcPr>
          <w:p w:rsidR="00FC2F6C" w:rsidRDefault="00FC2F6C">
            <w:pPr>
              <w:jc w:val="center"/>
              <w:rPr>
                <w:b/>
                <w:sz w:val="24"/>
              </w:rPr>
            </w:pPr>
            <w:r>
              <w:rPr>
                <w:b/>
                <w:sz w:val="24"/>
              </w:rPr>
              <w:t>GENERAL REQUIREMENTS</w:t>
            </w:r>
          </w:p>
        </w:tc>
      </w:tr>
      <w:tr w:rsidR="00FC2F6C">
        <w:tc>
          <w:tcPr>
            <w:tcW w:w="2430" w:type="dxa"/>
            <w:tcBorders>
              <w:top w:val="nil"/>
            </w:tcBorders>
          </w:tcPr>
          <w:p w:rsidR="00FC2F6C" w:rsidRDefault="00FC2F6C" w:rsidP="00FC2F6C">
            <w:pPr>
              <w:pStyle w:val="Header"/>
              <w:numPr>
                <w:ilvl w:val="0"/>
                <w:numId w:val="9"/>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FC2F6C" w:rsidRDefault="00FC2F6C">
            <w:pPr>
              <w:jc w:val="center"/>
              <w:rPr>
                <w:sz w:val="24"/>
              </w:rPr>
            </w:pPr>
            <w:r>
              <w:rPr>
                <w:sz w:val="24"/>
              </w:rPr>
              <w:t>ND</w:t>
            </w:r>
          </w:p>
        </w:tc>
        <w:tc>
          <w:tcPr>
            <w:tcW w:w="2250" w:type="dxa"/>
            <w:tcBorders>
              <w:top w:val="nil"/>
            </w:tcBorders>
          </w:tcPr>
          <w:p w:rsidR="00FC2F6C" w:rsidRDefault="00FC2F6C">
            <w:pPr>
              <w:ind w:left="45"/>
              <w:rPr>
                <w:sz w:val="24"/>
              </w:rPr>
            </w:pPr>
          </w:p>
        </w:tc>
        <w:tc>
          <w:tcPr>
            <w:tcW w:w="2430" w:type="dxa"/>
            <w:tcBorders>
              <w:top w:val="nil"/>
            </w:tcBorders>
          </w:tcPr>
          <w:p w:rsidR="00FC2F6C" w:rsidRDefault="00FC2F6C">
            <w:pPr>
              <w:pStyle w:val="Header"/>
              <w:tabs>
                <w:tab w:val="clear" w:pos="4320"/>
                <w:tab w:val="clear" w:pos="8640"/>
              </w:tabs>
              <w:ind w:left="45"/>
              <w:rPr>
                <w:sz w:val="24"/>
              </w:rPr>
            </w:pPr>
          </w:p>
        </w:tc>
        <w:tc>
          <w:tcPr>
            <w:tcW w:w="1260" w:type="dxa"/>
            <w:tcBorders>
              <w:top w:val="nil"/>
            </w:tcBorders>
          </w:tcPr>
          <w:p w:rsidR="00FC2F6C" w:rsidRDefault="00FC2F6C">
            <w:pPr>
              <w:ind w:left="45"/>
              <w:jc w:val="center"/>
              <w:rPr>
                <w:sz w:val="24"/>
              </w:rPr>
            </w:pPr>
          </w:p>
        </w:tc>
        <w:tc>
          <w:tcPr>
            <w:tcW w:w="1140" w:type="dxa"/>
            <w:tcBorders>
              <w:top w:val="nil"/>
            </w:tcBorders>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Language Access to LEP Persons</w:t>
            </w:r>
          </w:p>
        </w:tc>
        <w:tc>
          <w:tcPr>
            <w:tcW w:w="1080" w:type="dxa"/>
          </w:tcPr>
          <w:p w:rsidR="00FC2F6C" w:rsidRDefault="00FC2F6C">
            <w:pPr>
              <w:jc w:val="center"/>
              <w:rPr>
                <w:sz w:val="24"/>
              </w:rPr>
            </w:pPr>
            <w:r>
              <w:rPr>
                <w:sz w:val="24"/>
              </w:rPr>
              <w:t>D</w:t>
            </w:r>
          </w:p>
        </w:tc>
        <w:tc>
          <w:tcPr>
            <w:tcW w:w="2250" w:type="dxa"/>
          </w:tcPr>
          <w:p w:rsidR="00FC2F6C" w:rsidRDefault="00FC2F6C">
            <w:pPr>
              <w:ind w:left="45"/>
              <w:rPr>
                <w:sz w:val="24"/>
              </w:rPr>
            </w:pPr>
            <w:r>
              <w:rPr>
                <w:sz w:val="24"/>
              </w:rPr>
              <w:t>Lacking assessment or provisions for LEP persons</w:t>
            </w:r>
          </w:p>
        </w:tc>
        <w:tc>
          <w:tcPr>
            <w:tcW w:w="2430" w:type="dxa"/>
          </w:tcPr>
          <w:p w:rsidR="00FC2F6C" w:rsidRDefault="00FC2F6C">
            <w:pPr>
              <w:ind w:left="45"/>
              <w:rPr>
                <w:sz w:val="24"/>
                <w:szCs w:val="24"/>
              </w:rPr>
            </w:pPr>
            <w:r>
              <w:rPr>
                <w:sz w:val="24"/>
                <w:szCs w:val="24"/>
              </w:rPr>
              <w:t>Transfort must submit to the FTA Region VIII Civil Rights Officer a Language Assistance Plan that includes all the required elements in accordance with the guidance in FTA Circular 4702.1A.</w:t>
            </w:r>
          </w:p>
        </w:tc>
        <w:tc>
          <w:tcPr>
            <w:tcW w:w="1260" w:type="dxa"/>
          </w:tcPr>
          <w:p w:rsidR="00FC2F6C" w:rsidRDefault="00FC2F6C">
            <w:pPr>
              <w:ind w:left="45"/>
              <w:jc w:val="center"/>
              <w:rPr>
                <w:sz w:val="24"/>
              </w:rPr>
            </w:pPr>
            <w:r>
              <w:rPr>
                <w:sz w:val="24"/>
              </w:rPr>
              <w:t>120 Days</w:t>
            </w:r>
          </w:p>
        </w:tc>
        <w:tc>
          <w:tcPr>
            <w:tcW w:w="1140" w:type="dxa"/>
          </w:tcPr>
          <w:p w:rsidR="00FC2F6C" w:rsidRDefault="00F45D54">
            <w:pPr>
              <w:jc w:val="center"/>
              <w:rPr>
                <w:sz w:val="24"/>
              </w:rPr>
            </w:pPr>
            <w:r>
              <w:rPr>
                <w:sz w:val="24"/>
              </w:rPr>
              <w:t>2/19/10</w:t>
            </w: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Title VI Complaint Procedures</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ind w:left="45"/>
              <w:rPr>
                <w:sz w:val="24"/>
              </w:rPr>
            </w:pPr>
          </w:p>
        </w:tc>
        <w:tc>
          <w:tcPr>
            <w:tcW w:w="1260" w:type="dxa"/>
          </w:tcPr>
          <w:p w:rsidR="00FC2F6C" w:rsidRDefault="00FC2F6C">
            <w:pPr>
              <w:ind w:left="45"/>
              <w:jc w:val="center"/>
              <w:rPr>
                <w:sz w:val="24"/>
              </w:rPr>
            </w:pPr>
          </w:p>
        </w:tc>
        <w:tc>
          <w:tcPr>
            <w:tcW w:w="1140" w:type="dxa"/>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Record of Title VI Investigations, Complaints, and Lawsuits</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ind w:left="45"/>
              <w:rPr>
                <w:sz w:val="24"/>
              </w:rPr>
            </w:pPr>
          </w:p>
        </w:tc>
        <w:tc>
          <w:tcPr>
            <w:tcW w:w="1260" w:type="dxa"/>
          </w:tcPr>
          <w:p w:rsidR="00FC2F6C" w:rsidRDefault="00FC2F6C">
            <w:pPr>
              <w:ind w:left="45"/>
              <w:jc w:val="center"/>
              <w:rPr>
                <w:sz w:val="24"/>
              </w:rPr>
            </w:pPr>
          </w:p>
        </w:tc>
        <w:tc>
          <w:tcPr>
            <w:tcW w:w="1140" w:type="dxa"/>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Notice to Beneficiaries of Protection Under Title VI</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ind w:left="45"/>
              <w:rPr>
                <w:sz w:val="24"/>
              </w:rPr>
            </w:pPr>
          </w:p>
        </w:tc>
        <w:tc>
          <w:tcPr>
            <w:tcW w:w="1260" w:type="dxa"/>
          </w:tcPr>
          <w:p w:rsidR="00FC2F6C" w:rsidRDefault="00FC2F6C">
            <w:pPr>
              <w:pStyle w:val="Heading9"/>
              <w:spacing w:line="240" w:lineRule="auto"/>
              <w:ind w:left="45"/>
            </w:pPr>
          </w:p>
        </w:tc>
        <w:tc>
          <w:tcPr>
            <w:tcW w:w="1140" w:type="dxa"/>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Annual Title VI Certification and Assurance</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tabs>
                <w:tab w:val="left" w:pos="330"/>
              </w:tabs>
              <w:ind w:left="330" w:hanging="360"/>
              <w:rPr>
                <w:sz w:val="24"/>
              </w:rPr>
            </w:pPr>
          </w:p>
        </w:tc>
        <w:tc>
          <w:tcPr>
            <w:tcW w:w="1260" w:type="dxa"/>
          </w:tcPr>
          <w:p w:rsidR="00FC2F6C" w:rsidRDefault="00FC2F6C">
            <w:pPr>
              <w:jc w:val="center"/>
              <w:rPr>
                <w:sz w:val="24"/>
              </w:rPr>
            </w:pPr>
          </w:p>
        </w:tc>
        <w:tc>
          <w:tcPr>
            <w:tcW w:w="1140" w:type="dxa"/>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Environmental Justice Analysis of Construction Projects</w:t>
            </w:r>
          </w:p>
        </w:tc>
        <w:tc>
          <w:tcPr>
            <w:tcW w:w="1080" w:type="dxa"/>
          </w:tcPr>
          <w:p w:rsidR="00FC2F6C" w:rsidRDefault="00FC2F6C">
            <w:pPr>
              <w:jc w:val="center"/>
              <w:rPr>
                <w:sz w:val="24"/>
              </w:rPr>
            </w:pPr>
            <w:r>
              <w:rPr>
                <w:sz w:val="24"/>
              </w:rPr>
              <w:t>D</w:t>
            </w:r>
          </w:p>
        </w:tc>
        <w:tc>
          <w:tcPr>
            <w:tcW w:w="2250" w:type="dxa"/>
          </w:tcPr>
          <w:p w:rsidR="00FC2F6C" w:rsidRDefault="00FC2F6C">
            <w:pPr>
              <w:ind w:left="45"/>
              <w:rPr>
                <w:sz w:val="24"/>
              </w:rPr>
            </w:pPr>
            <w:r>
              <w:rPr>
                <w:sz w:val="24"/>
              </w:rPr>
              <w:t xml:space="preserve">Incomplete </w:t>
            </w:r>
            <w:r w:rsidR="008F7AF3">
              <w:rPr>
                <w:sz w:val="24"/>
              </w:rPr>
              <w:t>Title VI Environmental Justice A</w:t>
            </w:r>
            <w:r>
              <w:rPr>
                <w:sz w:val="24"/>
              </w:rPr>
              <w:t>nalysis</w:t>
            </w:r>
          </w:p>
        </w:tc>
        <w:tc>
          <w:tcPr>
            <w:tcW w:w="2430" w:type="dxa"/>
          </w:tcPr>
          <w:p w:rsidR="00FC2F6C" w:rsidRDefault="00FC2F6C">
            <w:pPr>
              <w:tabs>
                <w:tab w:val="left" w:pos="330"/>
                <w:tab w:val="left" w:pos="1725"/>
              </w:tabs>
              <w:ind w:left="-30"/>
              <w:rPr>
                <w:sz w:val="24"/>
                <w:szCs w:val="24"/>
              </w:rPr>
            </w:pPr>
            <w:r>
              <w:rPr>
                <w:sz w:val="24"/>
                <w:szCs w:val="24"/>
              </w:rPr>
              <w:t>Transfort must submit to the FTA Regio</w:t>
            </w:r>
            <w:r w:rsidR="008F7AF3">
              <w:rPr>
                <w:sz w:val="24"/>
                <w:szCs w:val="24"/>
              </w:rPr>
              <w:t>n VIII Civil Rights Officer an environmental j</w:t>
            </w:r>
            <w:r>
              <w:rPr>
                <w:sz w:val="24"/>
                <w:szCs w:val="24"/>
              </w:rPr>
              <w:t>ustice analysis for the Mason Corridor Project that includes all the required elements in accordance with the guidance in FTA Circular 4702.1A.</w:t>
            </w:r>
          </w:p>
        </w:tc>
        <w:tc>
          <w:tcPr>
            <w:tcW w:w="1260" w:type="dxa"/>
          </w:tcPr>
          <w:p w:rsidR="00FC2F6C" w:rsidRDefault="00FC2F6C">
            <w:pPr>
              <w:pStyle w:val="Heading9"/>
              <w:spacing w:line="240" w:lineRule="auto"/>
            </w:pPr>
            <w:r>
              <w:t>120 Days</w:t>
            </w:r>
          </w:p>
        </w:tc>
        <w:tc>
          <w:tcPr>
            <w:tcW w:w="1140" w:type="dxa"/>
          </w:tcPr>
          <w:p w:rsidR="00FC2F6C" w:rsidRDefault="00F45D54">
            <w:pPr>
              <w:jc w:val="center"/>
              <w:rPr>
                <w:sz w:val="24"/>
              </w:rPr>
            </w:pPr>
            <w:r>
              <w:rPr>
                <w:sz w:val="24"/>
              </w:rPr>
              <w:t>2/19/10</w:t>
            </w:r>
          </w:p>
        </w:tc>
      </w:tr>
      <w:tr w:rsidR="00FC2F6C">
        <w:trPr>
          <w:trHeight w:val="633"/>
        </w:trPr>
        <w:tc>
          <w:tcPr>
            <w:tcW w:w="2430" w:type="dxa"/>
          </w:tcPr>
          <w:p w:rsidR="00FC2F6C" w:rsidRDefault="00FC2F6C" w:rsidP="00FC2F6C">
            <w:pPr>
              <w:numPr>
                <w:ilvl w:val="0"/>
                <w:numId w:val="9"/>
              </w:numPr>
              <w:tabs>
                <w:tab w:val="clear" w:pos="720"/>
                <w:tab w:val="num" w:pos="420"/>
              </w:tabs>
              <w:ind w:left="420" w:hanging="420"/>
              <w:rPr>
                <w:sz w:val="24"/>
              </w:rPr>
            </w:pPr>
            <w:r>
              <w:rPr>
                <w:sz w:val="24"/>
              </w:rPr>
              <w:lastRenderedPageBreak/>
              <w:t>Submit Title VI Program</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tabs>
                <w:tab w:val="left" w:pos="-30"/>
                <w:tab w:val="left" w:pos="1725"/>
              </w:tabs>
              <w:ind w:left="-30"/>
              <w:rPr>
                <w:sz w:val="24"/>
              </w:rPr>
            </w:pPr>
          </w:p>
        </w:tc>
        <w:tc>
          <w:tcPr>
            <w:tcW w:w="1260" w:type="dxa"/>
          </w:tcPr>
          <w:p w:rsidR="00FC2F6C" w:rsidRDefault="00FC2F6C">
            <w:pPr>
              <w:pStyle w:val="Heading9"/>
              <w:spacing w:line="240" w:lineRule="auto"/>
            </w:pPr>
          </w:p>
        </w:tc>
        <w:tc>
          <w:tcPr>
            <w:tcW w:w="1140" w:type="dxa"/>
          </w:tcPr>
          <w:p w:rsidR="00FC2F6C" w:rsidRDefault="00FC2F6C">
            <w:pPr>
              <w:jc w:val="center"/>
              <w:rPr>
                <w:sz w:val="24"/>
              </w:rPr>
            </w:pPr>
          </w:p>
        </w:tc>
      </w:tr>
      <w:tr w:rsidR="00FC2F6C">
        <w:tc>
          <w:tcPr>
            <w:tcW w:w="10590" w:type="dxa"/>
            <w:gridSpan w:val="6"/>
          </w:tcPr>
          <w:p w:rsidR="00FC2F6C" w:rsidRDefault="00FC2F6C">
            <w:pPr>
              <w:jc w:val="center"/>
              <w:rPr>
                <w:b/>
                <w:sz w:val="24"/>
              </w:rPr>
            </w:pPr>
            <w:r>
              <w:rPr>
                <w:b/>
                <w:sz w:val="24"/>
              </w:rPr>
              <w:t>PROGRAM-SPECIFIC REQUIREMENTS</w:t>
            </w: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Demographic Data</w:t>
            </w:r>
          </w:p>
        </w:tc>
        <w:tc>
          <w:tcPr>
            <w:tcW w:w="1080" w:type="dxa"/>
          </w:tcPr>
          <w:p w:rsidR="00FC2F6C" w:rsidRDefault="00FC2F6C">
            <w:pPr>
              <w:jc w:val="center"/>
              <w:rPr>
                <w:sz w:val="24"/>
              </w:rPr>
            </w:pPr>
            <w:r>
              <w:rPr>
                <w:sz w:val="24"/>
              </w:rPr>
              <w:t>ND</w:t>
            </w:r>
          </w:p>
        </w:tc>
        <w:tc>
          <w:tcPr>
            <w:tcW w:w="2250" w:type="dxa"/>
          </w:tcPr>
          <w:p w:rsidR="00FC2F6C" w:rsidRDefault="00FC2F6C">
            <w:pPr>
              <w:ind w:left="45"/>
              <w:rPr>
                <w:sz w:val="24"/>
              </w:rPr>
            </w:pPr>
          </w:p>
        </w:tc>
        <w:tc>
          <w:tcPr>
            <w:tcW w:w="2430" w:type="dxa"/>
          </w:tcPr>
          <w:p w:rsidR="00FC2F6C" w:rsidRDefault="00FC2F6C">
            <w:pPr>
              <w:ind w:left="45"/>
              <w:rPr>
                <w:sz w:val="24"/>
              </w:rPr>
            </w:pPr>
          </w:p>
        </w:tc>
        <w:tc>
          <w:tcPr>
            <w:tcW w:w="1260" w:type="dxa"/>
          </w:tcPr>
          <w:p w:rsidR="00FC2F6C" w:rsidRDefault="00FC2F6C">
            <w:pPr>
              <w:jc w:val="center"/>
              <w:rPr>
                <w:sz w:val="24"/>
              </w:rPr>
            </w:pPr>
          </w:p>
        </w:tc>
        <w:tc>
          <w:tcPr>
            <w:tcW w:w="1140" w:type="dxa"/>
          </w:tcPr>
          <w:p w:rsidR="00FC2F6C" w:rsidRDefault="00FC2F6C">
            <w:pPr>
              <w:jc w:val="center"/>
              <w:rPr>
                <w:sz w:val="24"/>
              </w:rPr>
            </w:pPr>
          </w:p>
        </w:tc>
      </w:tr>
      <w:tr w:rsidR="00FC2F6C">
        <w:trPr>
          <w:trHeight w:val="966"/>
        </w:trPr>
        <w:tc>
          <w:tcPr>
            <w:tcW w:w="2430" w:type="dxa"/>
          </w:tcPr>
          <w:p w:rsidR="00FC2F6C" w:rsidRDefault="00FC2F6C" w:rsidP="00FC2F6C">
            <w:pPr>
              <w:numPr>
                <w:ilvl w:val="0"/>
                <w:numId w:val="9"/>
              </w:numPr>
              <w:tabs>
                <w:tab w:val="clear" w:pos="720"/>
                <w:tab w:val="num" w:pos="420"/>
              </w:tabs>
              <w:ind w:left="420" w:hanging="420"/>
              <w:rPr>
                <w:sz w:val="24"/>
              </w:rPr>
            </w:pPr>
            <w:r>
              <w:rPr>
                <w:sz w:val="24"/>
              </w:rPr>
              <w:t>Systemwide Service Standards and Policies</w:t>
            </w:r>
          </w:p>
        </w:tc>
        <w:tc>
          <w:tcPr>
            <w:tcW w:w="1080" w:type="dxa"/>
          </w:tcPr>
          <w:p w:rsidR="00FC2F6C" w:rsidRDefault="00FC2F6C">
            <w:pPr>
              <w:jc w:val="center"/>
              <w:rPr>
                <w:sz w:val="24"/>
              </w:rPr>
            </w:pPr>
            <w:r>
              <w:rPr>
                <w:sz w:val="24"/>
              </w:rPr>
              <w:t>D</w:t>
            </w:r>
          </w:p>
        </w:tc>
        <w:tc>
          <w:tcPr>
            <w:tcW w:w="2250" w:type="dxa"/>
          </w:tcPr>
          <w:p w:rsidR="00FC2F6C" w:rsidRDefault="00FC2F6C">
            <w:pPr>
              <w:ind w:left="45"/>
              <w:rPr>
                <w:sz w:val="24"/>
              </w:rPr>
            </w:pPr>
            <w:r>
              <w:rPr>
                <w:sz w:val="24"/>
              </w:rPr>
              <w:t>Service standards and/or policies lacking</w:t>
            </w:r>
          </w:p>
        </w:tc>
        <w:tc>
          <w:tcPr>
            <w:tcW w:w="2430" w:type="dxa"/>
          </w:tcPr>
          <w:p w:rsidR="00FC2F6C" w:rsidRDefault="00FC2F6C" w:rsidP="002276E8">
            <w:pPr>
              <w:ind w:left="45"/>
              <w:rPr>
                <w:sz w:val="24"/>
                <w:szCs w:val="24"/>
              </w:rPr>
            </w:pPr>
            <w:r>
              <w:rPr>
                <w:sz w:val="24"/>
                <w:szCs w:val="24"/>
              </w:rPr>
              <w:t xml:space="preserve">Transfort must submit to the FTA Civil Rights </w:t>
            </w:r>
            <w:r w:rsidR="002276E8">
              <w:rPr>
                <w:sz w:val="24"/>
                <w:szCs w:val="24"/>
              </w:rPr>
              <w:t xml:space="preserve">Equal Opportunity Specialist </w:t>
            </w:r>
            <w:r>
              <w:rPr>
                <w:sz w:val="24"/>
                <w:szCs w:val="24"/>
              </w:rPr>
              <w:t>systemwide service standards and policies that are being utilized by Transfort to guard against discriminatory service design or operations decisions, as required in FTA Circular 4702.1A.</w:t>
            </w:r>
          </w:p>
        </w:tc>
        <w:tc>
          <w:tcPr>
            <w:tcW w:w="1260" w:type="dxa"/>
          </w:tcPr>
          <w:p w:rsidR="00FC2F6C" w:rsidRDefault="00FC2F6C">
            <w:pPr>
              <w:pStyle w:val="Heading9"/>
              <w:spacing w:line="240" w:lineRule="auto"/>
              <w:ind w:left="45"/>
            </w:pPr>
            <w:r>
              <w:t>120 Days</w:t>
            </w:r>
          </w:p>
        </w:tc>
        <w:tc>
          <w:tcPr>
            <w:tcW w:w="1140" w:type="dxa"/>
          </w:tcPr>
          <w:p w:rsidR="00FC2F6C" w:rsidRDefault="00F45D54">
            <w:pPr>
              <w:jc w:val="center"/>
            </w:pPr>
            <w:r>
              <w:rPr>
                <w:sz w:val="24"/>
              </w:rPr>
              <w:t>2/19/10</w:t>
            </w: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t>Evaluation of Service and Fare Changes</w:t>
            </w:r>
          </w:p>
        </w:tc>
        <w:tc>
          <w:tcPr>
            <w:tcW w:w="1080" w:type="dxa"/>
          </w:tcPr>
          <w:p w:rsidR="00FC2F6C" w:rsidRDefault="00FC2F6C">
            <w:pPr>
              <w:jc w:val="center"/>
              <w:rPr>
                <w:sz w:val="24"/>
              </w:rPr>
            </w:pPr>
            <w:r>
              <w:rPr>
                <w:sz w:val="24"/>
              </w:rPr>
              <w:t>D</w:t>
            </w:r>
          </w:p>
        </w:tc>
        <w:tc>
          <w:tcPr>
            <w:tcW w:w="2250" w:type="dxa"/>
          </w:tcPr>
          <w:p w:rsidR="00FC2F6C" w:rsidRDefault="00FC2F6C">
            <w:pPr>
              <w:ind w:left="45"/>
              <w:rPr>
                <w:sz w:val="24"/>
              </w:rPr>
            </w:pPr>
            <w:r>
              <w:rPr>
                <w:sz w:val="24"/>
              </w:rPr>
              <w:t>Impact of fare and/or service changes not adequately examined</w:t>
            </w:r>
          </w:p>
        </w:tc>
        <w:tc>
          <w:tcPr>
            <w:tcW w:w="2430" w:type="dxa"/>
          </w:tcPr>
          <w:p w:rsidR="00A61D2D" w:rsidRDefault="00FC2F6C" w:rsidP="00A61D2D">
            <w:pPr>
              <w:rPr>
                <w:sz w:val="24"/>
                <w:szCs w:val="24"/>
              </w:rPr>
            </w:pPr>
            <w:r w:rsidRPr="00A61D2D">
              <w:rPr>
                <w:sz w:val="24"/>
                <w:szCs w:val="24"/>
              </w:rPr>
              <w:t xml:space="preserve">Transfort must submit </w:t>
            </w:r>
            <w:r w:rsidR="002276E8">
              <w:rPr>
                <w:sz w:val="24"/>
                <w:szCs w:val="24"/>
              </w:rPr>
              <w:t>to the FTA Civil Rights Equal Opportunity Specialist</w:t>
            </w:r>
            <w:r w:rsidR="00A61D2D">
              <w:rPr>
                <w:sz w:val="24"/>
                <w:szCs w:val="24"/>
              </w:rPr>
              <w:t>:</w:t>
            </w:r>
          </w:p>
          <w:p w:rsidR="00A61D2D" w:rsidRPr="002276E8" w:rsidRDefault="002276E8" w:rsidP="002276E8">
            <w:pPr>
              <w:pStyle w:val="ListParagraph"/>
              <w:numPr>
                <w:ilvl w:val="0"/>
                <w:numId w:val="27"/>
              </w:numPr>
              <w:ind w:left="330" w:hanging="270"/>
              <w:rPr>
                <w:sz w:val="24"/>
                <w:szCs w:val="24"/>
              </w:rPr>
            </w:pPr>
            <w:r w:rsidRPr="002276E8">
              <w:rPr>
                <w:sz w:val="24"/>
                <w:szCs w:val="24"/>
              </w:rPr>
              <w:t>R</w:t>
            </w:r>
            <w:r w:rsidR="00A61D2D" w:rsidRPr="002276E8">
              <w:rPr>
                <w:sz w:val="24"/>
                <w:szCs w:val="24"/>
              </w:rPr>
              <w:t>evised Service Change Policy to conduct equity evaluations of service and fare changes, as required in FTA Circular 4702.1A.</w:t>
            </w:r>
          </w:p>
          <w:p w:rsidR="00A61D2D" w:rsidRPr="00A61D2D" w:rsidRDefault="00A61D2D" w:rsidP="002276E8">
            <w:pPr>
              <w:pStyle w:val="ListParagraph"/>
              <w:numPr>
                <w:ilvl w:val="0"/>
                <w:numId w:val="25"/>
              </w:numPr>
              <w:ind w:left="330" w:hanging="270"/>
              <w:rPr>
                <w:sz w:val="24"/>
                <w:szCs w:val="24"/>
              </w:rPr>
            </w:pPr>
            <w:r w:rsidRPr="00A61D2D">
              <w:rPr>
                <w:sz w:val="24"/>
                <w:szCs w:val="24"/>
              </w:rPr>
              <w:t xml:space="preserve">Written equity evaluation of the impact of the service change resulting from the implementation of the Mason Express Bus Rapid Transit project. </w:t>
            </w:r>
          </w:p>
          <w:p w:rsidR="002276E8" w:rsidRDefault="002276E8">
            <w:pPr>
              <w:ind w:left="45"/>
              <w:rPr>
                <w:sz w:val="24"/>
              </w:rPr>
            </w:pPr>
          </w:p>
        </w:tc>
        <w:tc>
          <w:tcPr>
            <w:tcW w:w="1260" w:type="dxa"/>
          </w:tcPr>
          <w:p w:rsidR="00FC2F6C" w:rsidRDefault="00FC2F6C">
            <w:pPr>
              <w:pStyle w:val="Heading9"/>
              <w:spacing w:line="240" w:lineRule="auto"/>
              <w:ind w:left="45"/>
            </w:pPr>
            <w:r>
              <w:t>120 Days</w:t>
            </w:r>
          </w:p>
        </w:tc>
        <w:tc>
          <w:tcPr>
            <w:tcW w:w="1140" w:type="dxa"/>
          </w:tcPr>
          <w:p w:rsidR="00FC2F6C" w:rsidRDefault="00FC2F6C">
            <w:pPr>
              <w:jc w:val="center"/>
              <w:rPr>
                <w:sz w:val="24"/>
              </w:rPr>
            </w:pPr>
          </w:p>
        </w:tc>
      </w:tr>
      <w:tr w:rsidR="00FC2F6C">
        <w:tc>
          <w:tcPr>
            <w:tcW w:w="2430" w:type="dxa"/>
          </w:tcPr>
          <w:p w:rsidR="00FC2F6C" w:rsidRDefault="00FC2F6C" w:rsidP="00FC2F6C">
            <w:pPr>
              <w:numPr>
                <w:ilvl w:val="0"/>
                <w:numId w:val="9"/>
              </w:numPr>
              <w:tabs>
                <w:tab w:val="clear" w:pos="720"/>
                <w:tab w:val="num" w:pos="420"/>
              </w:tabs>
              <w:ind w:left="420" w:hanging="420"/>
              <w:rPr>
                <w:sz w:val="24"/>
              </w:rPr>
            </w:pPr>
            <w:r>
              <w:rPr>
                <w:sz w:val="24"/>
              </w:rPr>
              <w:lastRenderedPageBreak/>
              <w:t>Monitoring Transit Service</w:t>
            </w:r>
          </w:p>
        </w:tc>
        <w:tc>
          <w:tcPr>
            <w:tcW w:w="1080" w:type="dxa"/>
          </w:tcPr>
          <w:p w:rsidR="00FC2F6C" w:rsidRDefault="00FC2F6C">
            <w:pPr>
              <w:jc w:val="center"/>
              <w:rPr>
                <w:sz w:val="24"/>
              </w:rPr>
            </w:pPr>
            <w:r>
              <w:rPr>
                <w:sz w:val="24"/>
              </w:rPr>
              <w:t>D</w:t>
            </w:r>
          </w:p>
        </w:tc>
        <w:tc>
          <w:tcPr>
            <w:tcW w:w="2250" w:type="dxa"/>
          </w:tcPr>
          <w:p w:rsidR="00FC2F6C" w:rsidRDefault="00FC2F6C">
            <w:pPr>
              <w:pStyle w:val="ReferenceLine"/>
            </w:pPr>
            <w:r>
              <w:t>No procedures for monitoring level or quality of service</w:t>
            </w:r>
          </w:p>
        </w:tc>
        <w:tc>
          <w:tcPr>
            <w:tcW w:w="2430" w:type="dxa"/>
          </w:tcPr>
          <w:p w:rsidR="00FC2F6C" w:rsidRDefault="00FC2F6C" w:rsidP="002276E8">
            <w:r>
              <w:rPr>
                <w:sz w:val="24"/>
                <w:szCs w:val="24"/>
              </w:rPr>
              <w:t xml:space="preserve">Transfort must submit </w:t>
            </w:r>
            <w:r w:rsidR="002276E8">
              <w:rPr>
                <w:sz w:val="24"/>
                <w:szCs w:val="24"/>
              </w:rPr>
              <w:t xml:space="preserve">to the FTA Civil Rights Equal Opportunity Specialist </w:t>
            </w:r>
            <w:r>
              <w:rPr>
                <w:sz w:val="24"/>
                <w:szCs w:val="24"/>
              </w:rPr>
              <w:t xml:space="preserve">documentation that it has </w:t>
            </w:r>
            <w:r w:rsidR="00A61D2D">
              <w:rPr>
                <w:sz w:val="24"/>
                <w:szCs w:val="24"/>
              </w:rPr>
              <w:t>conducted</w:t>
            </w:r>
            <w:r>
              <w:rPr>
                <w:sz w:val="24"/>
                <w:szCs w:val="24"/>
              </w:rPr>
              <w:t xml:space="preserve"> transit monitoring program, </w:t>
            </w:r>
            <w:r w:rsidR="00A61D2D">
              <w:rPr>
                <w:sz w:val="24"/>
                <w:szCs w:val="24"/>
              </w:rPr>
              <w:t>in accordance with</w:t>
            </w:r>
            <w:r>
              <w:rPr>
                <w:sz w:val="24"/>
                <w:szCs w:val="24"/>
              </w:rPr>
              <w:t xml:space="preserve"> FTA Circular </w:t>
            </w:r>
            <w:r w:rsidR="00A61D2D">
              <w:rPr>
                <w:sz w:val="24"/>
                <w:szCs w:val="24"/>
              </w:rPr>
              <w:t>4</w:t>
            </w:r>
            <w:r>
              <w:rPr>
                <w:sz w:val="24"/>
                <w:szCs w:val="24"/>
              </w:rPr>
              <w:t>702.1A.</w:t>
            </w:r>
          </w:p>
        </w:tc>
        <w:tc>
          <w:tcPr>
            <w:tcW w:w="1260" w:type="dxa"/>
          </w:tcPr>
          <w:p w:rsidR="00FC2F6C" w:rsidRDefault="00FC2F6C">
            <w:pPr>
              <w:pStyle w:val="Heading9"/>
              <w:spacing w:line="240" w:lineRule="auto"/>
            </w:pPr>
            <w:r>
              <w:t>120 Days</w:t>
            </w:r>
          </w:p>
        </w:tc>
        <w:tc>
          <w:tcPr>
            <w:tcW w:w="1140" w:type="dxa"/>
          </w:tcPr>
          <w:p w:rsidR="00FC2F6C" w:rsidRDefault="00FC2F6C">
            <w:pPr>
              <w:jc w:val="center"/>
            </w:pPr>
          </w:p>
        </w:tc>
      </w:tr>
    </w:tbl>
    <w:p w:rsidR="00FC2F6C" w:rsidRDefault="00FC2F6C">
      <w:pPr>
        <w:ind w:left="-180"/>
      </w:pPr>
      <w:r>
        <w:t xml:space="preserve">Findings at the time of the site visit:  ND = No Deficiencies;  D = Deficiency;  NA = Not Applicable; </w:t>
      </w:r>
    </w:p>
    <w:p w:rsidR="00FC2F6C" w:rsidRDefault="00FC2F6C">
      <w:pPr>
        <w:ind w:left="-180"/>
      </w:pPr>
      <w:r>
        <w:t>NR = Not Reviewed; AC = Advisory Comment</w:t>
      </w:r>
    </w:p>
    <w:p w:rsidR="00FC2F6C" w:rsidRDefault="00FC2F6C">
      <w:pPr>
        <w:pStyle w:val="InsideAddress"/>
      </w:pPr>
    </w:p>
    <w:p w:rsidR="00FC2F6C" w:rsidRDefault="00FC2F6C">
      <w:pPr>
        <w:tabs>
          <w:tab w:val="num" w:pos="720"/>
        </w:tabs>
        <w:ind w:left="720" w:hanging="720"/>
        <w:rPr>
          <w:rStyle w:val="BHLevel1Char"/>
          <w:bCs/>
          <w:sz w:val="28"/>
        </w:rPr>
      </w:pPr>
      <w:bookmarkStart w:id="27" w:name="_Toc106790256"/>
      <w:bookmarkStart w:id="28" w:name="_Toc109968490"/>
      <w:r>
        <w:rPr>
          <w:b/>
          <w:bCs/>
          <w:sz w:val="28"/>
        </w:rPr>
        <w:br w:type="page"/>
      </w:r>
      <w:r>
        <w:rPr>
          <w:b/>
          <w:bCs/>
          <w:sz w:val="28"/>
        </w:rPr>
        <w:lastRenderedPageBreak/>
        <w:t>VIII.</w:t>
      </w:r>
      <w:r>
        <w:rPr>
          <w:b/>
          <w:bCs/>
          <w:sz w:val="28"/>
        </w:rPr>
        <w:tab/>
        <w:t>A</w:t>
      </w:r>
      <w:r>
        <w:rPr>
          <w:rStyle w:val="BHLevel1Char"/>
          <w:bCs/>
          <w:sz w:val="28"/>
          <w:u w:val="none"/>
        </w:rPr>
        <w:t>TTENDEES</w:t>
      </w:r>
      <w:bookmarkEnd w:id="27"/>
    </w:p>
    <w:p w:rsidR="00FC2F6C" w:rsidRDefault="00FC2F6C"/>
    <w:tbl>
      <w:tblPr>
        <w:tblW w:w="10953"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2"/>
        <w:gridCol w:w="3680"/>
        <w:gridCol w:w="1604"/>
        <w:gridCol w:w="3657"/>
      </w:tblGrid>
      <w:tr w:rsidR="00FC2F6C">
        <w:trPr>
          <w:trHeight w:val="422"/>
          <w:tblHeader/>
          <w:jc w:val="center"/>
        </w:trPr>
        <w:tc>
          <w:tcPr>
            <w:tcW w:w="2012" w:type="dxa"/>
            <w:shd w:val="pct20" w:color="auto" w:fill="auto"/>
          </w:tcPr>
          <w:p w:rsidR="00FC2F6C" w:rsidRDefault="00FC2F6C">
            <w:pPr>
              <w:jc w:val="center"/>
              <w:rPr>
                <w:b/>
                <w:sz w:val="22"/>
              </w:rPr>
            </w:pPr>
            <w:r>
              <w:rPr>
                <w:b/>
                <w:sz w:val="22"/>
              </w:rPr>
              <w:t>NAME</w:t>
            </w:r>
          </w:p>
        </w:tc>
        <w:tc>
          <w:tcPr>
            <w:tcW w:w="3680" w:type="dxa"/>
            <w:shd w:val="pct20" w:color="auto" w:fill="auto"/>
          </w:tcPr>
          <w:p w:rsidR="00FC2F6C" w:rsidRDefault="00FC2F6C">
            <w:pPr>
              <w:jc w:val="center"/>
              <w:rPr>
                <w:b/>
                <w:sz w:val="22"/>
              </w:rPr>
            </w:pPr>
            <w:r>
              <w:rPr>
                <w:b/>
                <w:sz w:val="22"/>
              </w:rPr>
              <w:t>TITLE/</w:t>
            </w:r>
          </w:p>
          <w:p w:rsidR="00FC2F6C" w:rsidRDefault="00FC2F6C">
            <w:pPr>
              <w:jc w:val="center"/>
              <w:rPr>
                <w:b/>
                <w:sz w:val="22"/>
              </w:rPr>
            </w:pPr>
            <w:r>
              <w:rPr>
                <w:b/>
                <w:sz w:val="22"/>
              </w:rPr>
              <w:t>ORGANIZATION</w:t>
            </w:r>
          </w:p>
        </w:tc>
        <w:tc>
          <w:tcPr>
            <w:tcW w:w="1604" w:type="dxa"/>
            <w:shd w:val="pct20" w:color="auto" w:fill="auto"/>
          </w:tcPr>
          <w:p w:rsidR="00FC2F6C" w:rsidRDefault="00FC2F6C">
            <w:pPr>
              <w:jc w:val="center"/>
              <w:rPr>
                <w:b/>
                <w:sz w:val="22"/>
              </w:rPr>
            </w:pPr>
            <w:r>
              <w:rPr>
                <w:b/>
                <w:sz w:val="22"/>
              </w:rPr>
              <w:t>PHONE</w:t>
            </w:r>
          </w:p>
        </w:tc>
        <w:tc>
          <w:tcPr>
            <w:tcW w:w="3657" w:type="dxa"/>
            <w:shd w:val="pct20" w:color="auto" w:fill="auto"/>
          </w:tcPr>
          <w:p w:rsidR="00FC2F6C" w:rsidRDefault="00FC2F6C">
            <w:pPr>
              <w:jc w:val="center"/>
              <w:rPr>
                <w:b/>
                <w:sz w:val="22"/>
              </w:rPr>
            </w:pPr>
            <w:r>
              <w:rPr>
                <w:b/>
                <w:sz w:val="22"/>
              </w:rPr>
              <w:t>E-MAIL</w:t>
            </w:r>
          </w:p>
        </w:tc>
      </w:tr>
      <w:bookmarkEnd w:id="28"/>
      <w:tr w:rsidR="00FC2F6C">
        <w:trPr>
          <w:jc w:val="center"/>
        </w:trPr>
        <w:tc>
          <w:tcPr>
            <w:tcW w:w="10953" w:type="dxa"/>
            <w:gridSpan w:val="4"/>
          </w:tcPr>
          <w:p w:rsidR="00FC2F6C" w:rsidRDefault="00FC2F6C">
            <w:pPr>
              <w:rPr>
                <w:b/>
                <w:sz w:val="24"/>
              </w:rPr>
            </w:pPr>
            <w:r>
              <w:rPr>
                <w:b/>
                <w:sz w:val="24"/>
              </w:rPr>
              <w:t>GRANTEE – Transfort</w:t>
            </w:r>
          </w:p>
        </w:tc>
      </w:tr>
      <w:tr w:rsidR="00FC2F6C">
        <w:trPr>
          <w:jc w:val="center"/>
        </w:trPr>
        <w:tc>
          <w:tcPr>
            <w:tcW w:w="2012" w:type="dxa"/>
          </w:tcPr>
          <w:p w:rsidR="00FC2F6C" w:rsidRDefault="00FC2F6C">
            <w:pPr>
              <w:rPr>
                <w:sz w:val="22"/>
                <w:szCs w:val="22"/>
              </w:rPr>
            </w:pPr>
            <w:r>
              <w:rPr>
                <w:sz w:val="22"/>
                <w:szCs w:val="22"/>
              </w:rPr>
              <w:t>Marlys J. Sittner</w:t>
            </w:r>
          </w:p>
        </w:tc>
        <w:tc>
          <w:tcPr>
            <w:tcW w:w="3680" w:type="dxa"/>
          </w:tcPr>
          <w:p w:rsidR="00FC2F6C" w:rsidRDefault="00FC2F6C">
            <w:pPr>
              <w:rPr>
                <w:sz w:val="22"/>
                <w:szCs w:val="22"/>
              </w:rPr>
            </w:pPr>
            <w:r>
              <w:rPr>
                <w:sz w:val="22"/>
                <w:szCs w:val="22"/>
              </w:rPr>
              <w:t>General Manager, Transfort/Dial-A-Ride</w:t>
            </w:r>
          </w:p>
        </w:tc>
        <w:tc>
          <w:tcPr>
            <w:tcW w:w="1604" w:type="dxa"/>
          </w:tcPr>
          <w:p w:rsidR="00FC2F6C" w:rsidRDefault="00FC2F6C">
            <w:pPr>
              <w:rPr>
                <w:sz w:val="22"/>
                <w:szCs w:val="22"/>
              </w:rPr>
            </w:pPr>
            <w:r>
              <w:rPr>
                <w:sz w:val="22"/>
                <w:szCs w:val="22"/>
              </w:rPr>
              <w:t>970-222-3262</w:t>
            </w:r>
          </w:p>
        </w:tc>
        <w:tc>
          <w:tcPr>
            <w:tcW w:w="3657" w:type="dxa"/>
          </w:tcPr>
          <w:p w:rsidR="00FC2F6C" w:rsidRDefault="000320D1">
            <w:pPr>
              <w:rPr>
                <w:color w:val="0000FF"/>
                <w:sz w:val="22"/>
                <w:u w:val="single"/>
              </w:rPr>
            </w:pPr>
            <w:hyperlink r:id="rId11" w:history="1">
              <w:r w:rsidR="00FC2F6C">
                <w:rPr>
                  <w:rStyle w:val="Hyperlink"/>
                  <w:sz w:val="22"/>
                </w:rPr>
                <w:t>msittner@fcgov.com</w:t>
              </w:r>
            </w:hyperlink>
          </w:p>
        </w:tc>
      </w:tr>
      <w:tr w:rsidR="00FC2F6C">
        <w:trPr>
          <w:jc w:val="center"/>
        </w:trPr>
        <w:tc>
          <w:tcPr>
            <w:tcW w:w="2012" w:type="dxa"/>
          </w:tcPr>
          <w:p w:rsidR="00FC2F6C" w:rsidRDefault="00FC2F6C">
            <w:pPr>
              <w:rPr>
                <w:sz w:val="22"/>
                <w:szCs w:val="22"/>
              </w:rPr>
            </w:pPr>
            <w:r>
              <w:rPr>
                <w:sz w:val="22"/>
                <w:szCs w:val="22"/>
              </w:rPr>
              <w:t>Kathleen Walker</w:t>
            </w:r>
          </w:p>
        </w:tc>
        <w:tc>
          <w:tcPr>
            <w:tcW w:w="3680" w:type="dxa"/>
          </w:tcPr>
          <w:p w:rsidR="00FC2F6C" w:rsidRDefault="00FC2F6C">
            <w:pPr>
              <w:rPr>
                <w:sz w:val="22"/>
                <w:szCs w:val="22"/>
              </w:rPr>
            </w:pPr>
            <w:r>
              <w:rPr>
                <w:sz w:val="22"/>
                <w:szCs w:val="22"/>
              </w:rPr>
              <w:t>Operations Supervisor, Transfort/Dial-A-Ride</w:t>
            </w:r>
          </w:p>
        </w:tc>
        <w:tc>
          <w:tcPr>
            <w:tcW w:w="1604" w:type="dxa"/>
          </w:tcPr>
          <w:p w:rsidR="00FC2F6C" w:rsidRDefault="00FC2F6C">
            <w:pPr>
              <w:rPr>
                <w:sz w:val="22"/>
                <w:szCs w:val="22"/>
              </w:rPr>
            </w:pPr>
            <w:r>
              <w:rPr>
                <w:sz w:val="22"/>
                <w:szCs w:val="22"/>
              </w:rPr>
              <w:t>970-221-6621</w:t>
            </w:r>
          </w:p>
        </w:tc>
        <w:tc>
          <w:tcPr>
            <w:tcW w:w="3657" w:type="dxa"/>
          </w:tcPr>
          <w:p w:rsidR="00FC2F6C" w:rsidRDefault="000320D1">
            <w:pPr>
              <w:rPr>
                <w:color w:val="0000FF"/>
                <w:sz w:val="22"/>
                <w:u w:val="single"/>
              </w:rPr>
            </w:pPr>
            <w:hyperlink r:id="rId12" w:history="1">
              <w:r w:rsidR="00FC2F6C">
                <w:rPr>
                  <w:rStyle w:val="Hyperlink"/>
                  <w:sz w:val="22"/>
                </w:rPr>
                <w:t>jwalker@fcgov.com</w:t>
              </w:r>
            </w:hyperlink>
          </w:p>
        </w:tc>
      </w:tr>
      <w:tr w:rsidR="00FC2F6C">
        <w:trPr>
          <w:jc w:val="center"/>
        </w:trPr>
        <w:tc>
          <w:tcPr>
            <w:tcW w:w="2012" w:type="dxa"/>
          </w:tcPr>
          <w:p w:rsidR="00FC2F6C" w:rsidRDefault="00FC2F6C">
            <w:pPr>
              <w:rPr>
                <w:sz w:val="22"/>
                <w:szCs w:val="22"/>
              </w:rPr>
            </w:pPr>
            <w:r>
              <w:rPr>
                <w:sz w:val="22"/>
                <w:szCs w:val="22"/>
              </w:rPr>
              <w:t>Kurt Ravenschlag</w:t>
            </w:r>
          </w:p>
        </w:tc>
        <w:tc>
          <w:tcPr>
            <w:tcW w:w="3680" w:type="dxa"/>
          </w:tcPr>
          <w:p w:rsidR="00FC2F6C" w:rsidRDefault="00FC2F6C">
            <w:pPr>
              <w:rPr>
                <w:sz w:val="22"/>
                <w:szCs w:val="22"/>
              </w:rPr>
            </w:pPr>
            <w:r>
              <w:rPr>
                <w:sz w:val="22"/>
                <w:szCs w:val="22"/>
              </w:rPr>
              <w:t>Assistant General Manager, Transfort/Dial-A-Ride</w:t>
            </w:r>
          </w:p>
        </w:tc>
        <w:tc>
          <w:tcPr>
            <w:tcW w:w="1604" w:type="dxa"/>
          </w:tcPr>
          <w:p w:rsidR="00FC2F6C" w:rsidRDefault="00FC2F6C">
            <w:pPr>
              <w:rPr>
                <w:sz w:val="22"/>
                <w:szCs w:val="22"/>
              </w:rPr>
            </w:pPr>
            <w:r>
              <w:rPr>
                <w:sz w:val="22"/>
                <w:szCs w:val="22"/>
              </w:rPr>
              <w:t>970-221-6386</w:t>
            </w:r>
          </w:p>
        </w:tc>
        <w:tc>
          <w:tcPr>
            <w:tcW w:w="3657" w:type="dxa"/>
          </w:tcPr>
          <w:p w:rsidR="00FC2F6C" w:rsidRDefault="000320D1">
            <w:pPr>
              <w:rPr>
                <w:color w:val="0000FF"/>
                <w:sz w:val="22"/>
                <w:u w:val="single"/>
              </w:rPr>
            </w:pPr>
            <w:hyperlink r:id="rId13" w:history="1">
              <w:r w:rsidR="00FC2F6C">
                <w:rPr>
                  <w:rStyle w:val="Hyperlink"/>
                  <w:sz w:val="22"/>
                </w:rPr>
                <w:t>kravenschlag@fcgov.com</w:t>
              </w:r>
            </w:hyperlink>
          </w:p>
        </w:tc>
      </w:tr>
      <w:tr w:rsidR="00FC2F6C">
        <w:trPr>
          <w:trHeight w:val="521"/>
          <w:jc w:val="center"/>
        </w:trPr>
        <w:tc>
          <w:tcPr>
            <w:tcW w:w="2012" w:type="dxa"/>
          </w:tcPr>
          <w:p w:rsidR="00FC2F6C" w:rsidRDefault="00FC2F6C">
            <w:pPr>
              <w:rPr>
                <w:sz w:val="22"/>
                <w:szCs w:val="22"/>
              </w:rPr>
            </w:pPr>
            <w:r>
              <w:rPr>
                <w:sz w:val="22"/>
                <w:szCs w:val="22"/>
              </w:rPr>
              <w:t>Craig Dubin</w:t>
            </w:r>
          </w:p>
        </w:tc>
        <w:tc>
          <w:tcPr>
            <w:tcW w:w="3680" w:type="dxa"/>
          </w:tcPr>
          <w:p w:rsidR="00FC2F6C" w:rsidRDefault="00FC2F6C">
            <w:pPr>
              <w:rPr>
                <w:sz w:val="22"/>
                <w:szCs w:val="22"/>
              </w:rPr>
            </w:pPr>
            <w:r>
              <w:rPr>
                <w:sz w:val="22"/>
                <w:szCs w:val="22"/>
              </w:rPr>
              <w:t>Operations Supervisor, Transfort/Dial-A-Ride</w:t>
            </w:r>
          </w:p>
        </w:tc>
        <w:tc>
          <w:tcPr>
            <w:tcW w:w="1604" w:type="dxa"/>
          </w:tcPr>
          <w:p w:rsidR="00FC2F6C" w:rsidRDefault="00FC2F6C">
            <w:pPr>
              <w:rPr>
                <w:sz w:val="22"/>
                <w:szCs w:val="22"/>
              </w:rPr>
            </w:pPr>
            <w:r>
              <w:rPr>
                <w:sz w:val="22"/>
                <w:szCs w:val="22"/>
              </w:rPr>
              <w:t>970-224-6196</w:t>
            </w:r>
          </w:p>
        </w:tc>
        <w:tc>
          <w:tcPr>
            <w:tcW w:w="3657" w:type="dxa"/>
          </w:tcPr>
          <w:p w:rsidR="00FC2F6C" w:rsidRDefault="000320D1">
            <w:pPr>
              <w:rPr>
                <w:color w:val="0000FF"/>
                <w:sz w:val="22"/>
                <w:u w:val="single"/>
              </w:rPr>
            </w:pPr>
            <w:hyperlink r:id="rId14" w:history="1">
              <w:r w:rsidR="00FC2F6C">
                <w:rPr>
                  <w:rStyle w:val="Hyperlink"/>
                  <w:sz w:val="22"/>
                </w:rPr>
                <w:t>cdubin@fcgov.com</w:t>
              </w:r>
            </w:hyperlink>
          </w:p>
        </w:tc>
      </w:tr>
      <w:tr w:rsidR="00FC2F6C">
        <w:trPr>
          <w:jc w:val="center"/>
        </w:trPr>
        <w:tc>
          <w:tcPr>
            <w:tcW w:w="10953" w:type="dxa"/>
            <w:gridSpan w:val="4"/>
          </w:tcPr>
          <w:p w:rsidR="00FC2F6C" w:rsidRDefault="00FC2F6C">
            <w:pPr>
              <w:rPr>
                <w:b/>
                <w:sz w:val="24"/>
              </w:rPr>
            </w:pPr>
            <w:r>
              <w:rPr>
                <w:b/>
                <w:sz w:val="24"/>
              </w:rPr>
              <w:t>AGENCY – Federal Transit Administration (FTA)</w:t>
            </w:r>
          </w:p>
        </w:tc>
      </w:tr>
      <w:tr w:rsidR="00FC2F6C">
        <w:trPr>
          <w:jc w:val="center"/>
        </w:trPr>
        <w:tc>
          <w:tcPr>
            <w:tcW w:w="2012" w:type="dxa"/>
            <w:tcBorders>
              <w:top w:val="single" w:sz="4" w:space="0" w:color="auto"/>
              <w:left w:val="single" w:sz="4" w:space="0" w:color="auto"/>
              <w:bottom w:val="single" w:sz="4" w:space="0" w:color="auto"/>
              <w:right w:val="single" w:sz="4" w:space="0" w:color="auto"/>
            </w:tcBorders>
          </w:tcPr>
          <w:p w:rsidR="00FC2F6C" w:rsidRDefault="00FC2F6C">
            <w:pPr>
              <w:rPr>
                <w:sz w:val="22"/>
              </w:rPr>
            </w:pPr>
            <w:r>
              <w:rPr>
                <w:sz w:val="22"/>
              </w:rPr>
              <w:t>Rebecca Ubando Tanrath</w:t>
            </w:r>
          </w:p>
          <w:p w:rsidR="00FC2F6C" w:rsidRDefault="00FC2F6C">
            <w:pPr>
              <w:rPr>
                <w:sz w:val="22"/>
              </w:rPr>
            </w:pPr>
            <w:r>
              <w:rPr>
                <w:sz w:val="22"/>
              </w:rPr>
              <w:t>(via telephone)</w:t>
            </w:r>
          </w:p>
        </w:tc>
        <w:tc>
          <w:tcPr>
            <w:tcW w:w="3680" w:type="dxa"/>
            <w:tcBorders>
              <w:top w:val="single" w:sz="4" w:space="0" w:color="auto"/>
              <w:left w:val="single" w:sz="4" w:space="0" w:color="auto"/>
              <w:bottom w:val="single" w:sz="4" w:space="0" w:color="auto"/>
              <w:right w:val="single" w:sz="4" w:space="0" w:color="auto"/>
            </w:tcBorders>
          </w:tcPr>
          <w:p w:rsidR="00FC2F6C" w:rsidRDefault="00FC2F6C">
            <w:pPr>
              <w:rPr>
                <w:sz w:val="22"/>
              </w:rPr>
            </w:pPr>
            <w:r>
              <w:rPr>
                <w:sz w:val="22"/>
              </w:rPr>
              <w:t>Region VIII Regional Civil Rights Officer</w:t>
            </w:r>
          </w:p>
        </w:tc>
        <w:tc>
          <w:tcPr>
            <w:tcW w:w="1604" w:type="dxa"/>
            <w:tcBorders>
              <w:top w:val="single" w:sz="4" w:space="0" w:color="auto"/>
              <w:left w:val="single" w:sz="4" w:space="0" w:color="auto"/>
              <w:bottom w:val="single" w:sz="4" w:space="0" w:color="auto"/>
              <w:right w:val="single" w:sz="4" w:space="0" w:color="auto"/>
            </w:tcBorders>
          </w:tcPr>
          <w:p w:rsidR="00FC2F6C" w:rsidRDefault="00FC2F6C">
            <w:pPr>
              <w:rPr>
                <w:sz w:val="22"/>
              </w:rPr>
            </w:pPr>
            <w:r>
              <w:rPr>
                <w:sz w:val="22"/>
              </w:rPr>
              <w:t>720-963-3313</w:t>
            </w:r>
          </w:p>
        </w:tc>
        <w:tc>
          <w:tcPr>
            <w:tcW w:w="3657" w:type="dxa"/>
            <w:tcBorders>
              <w:top w:val="single" w:sz="4" w:space="0" w:color="auto"/>
              <w:left w:val="single" w:sz="4" w:space="0" w:color="auto"/>
              <w:bottom w:val="single" w:sz="4" w:space="0" w:color="auto"/>
              <w:right w:val="single" w:sz="4" w:space="0" w:color="auto"/>
            </w:tcBorders>
          </w:tcPr>
          <w:p w:rsidR="00FC2F6C" w:rsidRDefault="000320D1">
            <w:pPr>
              <w:rPr>
                <w:sz w:val="22"/>
              </w:rPr>
            </w:pPr>
            <w:hyperlink r:id="rId15" w:history="1">
              <w:r w:rsidR="00FC2F6C">
                <w:rPr>
                  <w:rStyle w:val="Hyperlink"/>
                  <w:sz w:val="22"/>
                </w:rPr>
                <w:t>rebecca.tanrath@dot.gov</w:t>
              </w:r>
            </w:hyperlink>
          </w:p>
        </w:tc>
      </w:tr>
      <w:tr w:rsidR="00FC2F6C">
        <w:trPr>
          <w:jc w:val="center"/>
        </w:trPr>
        <w:tc>
          <w:tcPr>
            <w:tcW w:w="10953" w:type="dxa"/>
            <w:gridSpan w:val="4"/>
            <w:tcBorders>
              <w:top w:val="single" w:sz="4" w:space="0" w:color="auto"/>
              <w:left w:val="single" w:sz="4" w:space="0" w:color="auto"/>
              <w:bottom w:val="single" w:sz="4" w:space="0" w:color="auto"/>
              <w:right w:val="single" w:sz="4" w:space="0" w:color="auto"/>
            </w:tcBorders>
          </w:tcPr>
          <w:p w:rsidR="00FC2F6C" w:rsidRDefault="00FC2F6C">
            <w:pPr>
              <w:rPr>
                <w:b/>
                <w:sz w:val="24"/>
              </w:rPr>
            </w:pPr>
            <w:r>
              <w:rPr>
                <w:b/>
                <w:sz w:val="24"/>
              </w:rPr>
              <w:t>REVIEW TEAM – The DMP Group, LLC</w:t>
            </w:r>
          </w:p>
        </w:tc>
      </w:tr>
      <w:tr w:rsidR="00FC2F6C">
        <w:trPr>
          <w:jc w:val="center"/>
        </w:trPr>
        <w:tc>
          <w:tcPr>
            <w:tcW w:w="2012"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John Potts</w:t>
            </w:r>
          </w:p>
        </w:tc>
        <w:tc>
          <w:tcPr>
            <w:tcW w:w="3680"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Lead Reviewer, The DMP Group</w:t>
            </w:r>
          </w:p>
        </w:tc>
        <w:tc>
          <w:tcPr>
            <w:tcW w:w="1604"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504-283-7661</w:t>
            </w:r>
          </w:p>
        </w:tc>
        <w:tc>
          <w:tcPr>
            <w:tcW w:w="3657" w:type="dxa"/>
            <w:tcBorders>
              <w:top w:val="single" w:sz="4" w:space="0" w:color="auto"/>
              <w:left w:val="single" w:sz="4" w:space="0" w:color="auto"/>
              <w:bottom w:val="single" w:sz="4" w:space="0" w:color="auto"/>
              <w:right w:val="single" w:sz="4" w:space="0" w:color="auto"/>
            </w:tcBorders>
          </w:tcPr>
          <w:p w:rsidR="00FC2F6C" w:rsidRDefault="000320D1">
            <w:pPr>
              <w:rPr>
                <w:sz w:val="22"/>
                <w:szCs w:val="22"/>
              </w:rPr>
            </w:pPr>
            <w:hyperlink r:id="rId16" w:history="1">
              <w:r w:rsidR="00FC2F6C">
                <w:rPr>
                  <w:rStyle w:val="Hyperlink"/>
                  <w:sz w:val="22"/>
                  <w:szCs w:val="22"/>
                </w:rPr>
                <w:t>johnpotts@thedmpgroup.com</w:t>
              </w:r>
            </w:hyperlink>
            <w:r w:rsidR="00FC2F6C">
              <w:rPr>
                <w:sz w:val="22"/>
                <w:szCs w:val="22"/>
              </w:rPr>
              <w:t xml:space="preserve"> </w:t>
            </w:r>
          </w:p>
        </w:tc>
      </w:tr>
      <w:tr w:rsidR="00FC2F6C">
        <w:trPr>
          <w:jc w:val="center"/>
        </w:trPr>
        <w:tc>
          <w:tcPr>
            <w:tcW w:w="2012"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Don Lucas</w:t>
            </w:r>
          </w:p>
        </w:tc>
        <w:tc>
          <w:tcPr>
            <w:tcW w:w="3680"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Reviewer, The DMP Group</w:t>
            </w:r>
          </w:p>
        </w:tc>
        <w:tc>
          <w:tcPr>
            <w:tcW w:w="1604"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301-585-2630</w:t>
            </w:r>
          </w:p>
        </w:tc>
        <w:tc>
          <w:tcPr>
            <w:tcW w:w="3657" w:type="dxa"/>
            <w:tcBorders>
              <w:top w:val="single" w:sz="4" w:space="0" w:color="auto"/>
              <w:left w:val="single" w:sz="4" w:space="0" w:color="auto"/>
              <w:bottom w:val="single" w:sz="4" w:space="0" w:color="auto"/>
              <w:right w:val="single" w:sz="4" w:space="0" w:color="auto"/>
            </w:tcBorders>
          </w:tcPr>
          <w:p w:rsidR="00FC2F6C" w:rsidRDefault="000320D1">
            <w:pPr>
              <w:rPr>
                <w:sz w:val="22"/>
                <w:szCs w:val="22"/>
              </w:rPr>
            </w:pPr>
            <w:hyperlink r:id="rId17" w:history="1">
              <w:r w:rsidR="00FC2F6C">
                <w:rPr>
                  <w:rStyle w:val="Hyperlink"/>
                  <w:sz w:val="22"/>
                  <w:szCs w:val="22"/>
                </w:rPr>
                <w:t>donald.lucas@thedmpgroup.com</w:t>
              </w:r>
            </w:hyperlink>
          </w:p>
        </w:tc>
      </w:tr>
      <w:tr w:rsidR="00FC2F6C">
        <w:trPr>
          <w:jc w:val="center"/>
        </w:trPr>
        <w:tc>
          <w:tcPr>
            <w:tcW w:w="2012"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Khalique Davis</w:t>
            </w:r>
          </w:p>
        </w:tc>
        <w:tc>
          <w:tcPr>
            <w:tcW w:w="3680"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Reviewer, The DMP Group</w:t>
            </w:r>
          </w:p>
        </w:tc>
        <w:tc>
          <w:tcPr>
            <w:tcW w:w="1604" w:type="dxa"/>
            <w:tcBorders>
              <w:top w:val="single" w:sz="4" w:space="0" w:color="auto"/>
              <w:left w:val="single" w:sz="4" w:space="0" w:color="auto"/>
              <w:bottom w:val="single" w:sz="4" w:space="0" w:color="auto"/>
              <w:right w:val="single" w:sz="4" w:space="0" w:color="auto"/>
            </w:tcBorders>
          </w:tcPr>
          <w:p w:rsidR="00FC2F6C" w:rsidRDefault="00FC2F6C">
            <w:pPr>
              <w:rPr>
                <w:sz w:val="22"/>
                <w:szCs w:val="22"/>
              </w:rPr>
            </w:pPr>
            <w:r>
              <w:rPr>
                <w:sz w:val="22"/>
                <w:szCs w:val="22"/>
              </w:rPr>
              <w:t>412-952-9007</w:t>
            </w:r>
          </w:p>
        </w:tc>
        <w:tc>
          <w:tcPr>
            <w:tcW w:w="3657" w:type="dxa"/>
            <w:tcBorders>
              <w:top w:val="single" w:sz="4" w:space="0" w:color="auto"/>
              <w:left w:val="single" w:sz="4" w:space="0" w:color="auto"/>
              <w:bottom w:val="single" w:sz="4" w:space="0" w:color="auto"/>
              <w:right w:val="single" w:sz="4" w:space="0" w:color="auto"/>
            </w:tcBorders>
          </w:tcPr>
          <w:p w:rsidR="00FC2F6C" w:rsidRDefault="000320D1">
            <w:pPr>
              <w:rPr>
                <w:sz w:val="22"/>
                <w:szCs w:val="22"/>
              </w:rPr>
            </w:pPr>
            <w:hyperlink r:id="rId18" w:history="1">
              <w:r w:rsidR="00FC2F6C">
                <w:rPr>
                  <w:rStyle w:val="Hyperlink"/>
                  <w:sz w:val="22"/>
                  <w:szCs w:val="22"/>
                </w:rPr>
                <w:t>khalique.davis@thedmpgroup.com</w:t>
              </w:r>
            </w:hyperlink>
          </w:p>
        </w:tc>
      </w:tr>
    </w:tbl>
    <w:p w:rsidR="00FC2F6C" w:rsidRDefault="00FC2F6C">
      <w:pPr>
        <w:pStyle w:val="InsideAddress"/>
      </w:pPr>
    </w:p>
    <w:sectPr w:rsidR="00FC2F6C" w:rsidSect="002112C5">
      <w:headerReference w:type="default" r:id="rId19"/>
      <w:footerReference w:type="even" r:id="rId20"/>
      <w:footerReference w:type="default" r:id="rId21"/>
      <w:footerReference w:type="first" r:id="rId22"/>
      <w:pgSz w:w="12240" w:h="15840" w:code="1"/>
      <w:pgMar w:top="1440" w:right="1350" w:bottom="1440" w:left="180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E3" w:rsidRDefault="00A722E3">
      <w:r>
        <w:separator/>
      </w:r>
    </w:p>
  </w:endnote>
  <w:endnote w:type="continuationSeparator" w:id="0">
    <w:p w:rsidR="00A722E3" w:rsidRDefault="00A72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0320D1">
    <w:pPr>
      <w:pStyle w:val="Footer"/>
      <w:framePr w:wrap="around" w:vAnchor="text" w:hAnchor="margin" w:xAlign="center" w:y="1"/>
      <w:rPr>
        <w:rStyle w:val="PageNumber"/>
      </w:rPr>
    </w:pPr>
    <w:r>
      <w:rPr>
        <w:rStyle w:val="PageNumber"/>
      </w:rPr>
      <w:fldChar w:fldCharType="begin"/>
    </w:r>
    <w:r w:rsidR="0010044E">
      <w:rPr>
        <w:rStyle w:val="PageNumber"/>
      </w:rPr>
      <w:instrText xml:space="preserve">PAGE  </w:instrText>
    </w:r>
    <w:r>
      <w:rPr>
        <w:rStyle w:val="PageNumber"/>
      </w:rPr>
      <w:fldChar w:fldCharType="separate"/>
    </w:r>
    <w:r w:rsidR="0010044E">
      <w:rPr>
        <w:rStyle w:val="PageNumber"/>
        <w:noProof/>
      </w:rPr>
      <w:t>22</w:t>
    </w:r>
    <w:r>
      <w:rPr>
        <w:rStyle w:val="PageNumber"/>
      </w:rPr>
      <w:fldChar w:fldCharType="end"/>
    </w:r>
  </w:p>
  <w:p w:rsidR="0010044E" w:rsidRDefault="00100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10044E">
    <w:pPr>
      <w:pStyle w:val="Footer"/>
      <w:framePr w:wrap="around" w:vAnchor="text" w:hAnchor="margin" w:xAlign="center" w:y="1"/>
      <w:jc w:val="center"/>
      <w:rPr>
        <w:rStyle w:val="PageNumber"/>
      </w:rPr>
    </w:pPr>
  </w:p>
  <w:p w:rsidR="0010044E" w:rsidRDefault="000320D1">
    <w:pPr>
      <w:pStyle w:val="Footer"/>
      <w:framePr w:wrap="around" w:vAnchor="text" w:hAnchor="margin" w:xAlign="center" w:y="1"/>
      <w:ind w:right="360"/>
      <w:jc w:val="center"/>
      <w:rPr>
        <w:rStyle w:val="PageNumber"/>
      </w:rPr>
    </w:pPr>
    <w:r>
      <w:rPr>
        <w:rStyle w:val="PageNumber"/>
      </w:rPr>
      <w:fldChar w:fldCharType="begin"/>
    </w:r>
    <w:r w:rsidR="0010044E">
      <w:rPr>
        <w:rStyle w:val="PageNumber"/>
      </w:rPr>
      <w:instrText xml:space="preserve"> PAGE </w:instrText>
    </w:r>
    <w:r>
      <w:rPr>
        <w:rStyle w:val="PageNumber"/>
      </w:rPr>
      <w:fldChar w:fldCharType="separate"/>
    </w:r>
    <w:r w:rsidR="004D6676">
      <w:rPr>
        <w:rStyle w:val="PageNumber"/>
        <w:noProof/>
      </w:rPr>
      <w:t>2</w:t>
    </w:r>
    <w:r>
      <w:rPr>
        <w:rStyle w:val="PageNumber"/>
      </w:rPr>
      <w:fldChar w:fldCharType="end"/>
    </w:r>
  </w:p>
  <w:p w:rsidR="0010044E" w:rsidRDefault="0010044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0320D1">
    <w:pPr>
      <w:pStyle w:val="Footer"/>
      <w:jc w:val="center"/>
    </w:pPr>
    <w:r>
      <w:rPr>
        <w:rStyle w:val="PageNumber"/>
      </w:rPr>
      <w:fldChar w:fldCharType="begin"/>
    </w:r>
    <w:r w:rsidR="0010044E">
      <w:rPr>
        <w:rStyle w:val="PageNumber"/>
      </w:rPr>
      <w:instrText xml:space="preserve"> PAGE </w:instrText>
    </w:r>
    <w:r>
      <w:rPr>
        <w:rStyle w:val="PageNumber"/>
      </w:rPr>
      <w:fldChar w:fldCharType="separate"/>
    </w:r>
    <w:r w:rsidR="004D6676">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0320D1">
    <w:pPr>
      <w:pStyle w:val="Footer"/>
      <w:framePr w:wrap="around" w:vAnchor="text" w:hAnchor="margin" w:xAlign="center" w:y="1"/>
      <w:rPr>
        <w:rStyle w:val="PageNumber"/>
      </w:rPr>
    </w:pPr>
    <w:r>
      <w:rPr>
        <w:rStyle w:val="PageNumber"/>
      </w:rPr>
      <w:fldChar w:fldCharType="begin"/>
    </w:r>
    <w:r w:rsidR="0010044E">
      <w:rPr>
        <w:rStyle w:val="PageNumber"/>
      </w:rPr>
      <w:instrText xml:space="preserve">PAGE  </w:instrText>
    </w:r>
    <w:r>
      <w:rPr>
        <w:rStyle w:val="PageNumber"/>
      </w:rPr>
      <w:fldChar w:fldCharType="separate"/>
    </w:r>
    <w:r w:rsidR="0010044E">
      <w:rPr>
        <w:rStyle w:val="PageNumber"/>
        <w:noProof/>
      </w:rPr>
      <w:t>22</w:t>
    </w:r>
    <w:r>
      <w:rPr>
        <w:rStyle w:val="PageNumber"/>
      </w:rPr>
      <w:fldChar w:fldCharType="end"/>
    </w:r>
  </w:p>
  <w:p w:rsidR="0010044E" w:rsidRDefault="0010044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10044E">
    <w:pPr>
      <w:pStyle w:val="Footer"/>
      <w:framePr w:wrap="around" w:vAnchor="text" w:hAnchor="margin" w:xAlign="center" w:y="1"/>
      <w:jc w:val="center"/>
      <w:rPr>
        <w:rStyle w:val="PageNumber"/>
      </w:rPr>
    </w:pPr>
  </w:p>
  <w:p w:rsidR="0010044E" w:rsidRDefault="000320D1">
    <w:pPr>
      <w:pStyle w:val="Footer"/>
      <w:framePr w:wrap="around" w:vAnchor="text" w:hAnchor="margin" w:xAlign="center" w:y="1"/>
      <w:ind w:right="360"/>
      <w:jc w:val="center"/>
      <w:rPr>
        <w:rStyle w:val="PageNumber"/>
      </w:rPr>
    </w:pPr>
    <w:r>
      <w:rPr>
        <w:rStyle w:val="PageNumber"/>
      </w:rPr>
      <w:fldChar w:fldCharType="begin"/>
    </w:r>
    <w:r w:rsidR="0010044E">
      <w:rPr>
        <w:rStyle w:val="PageNumber"/>
      </w:rPr>
      <w:instrText xml:space="preserve"> PAGE </w:instrText>
    </w:r>
    <w:r>
      <w:rPr>
        <w:rStyle w:val="PageNumber"/>
      </w:rPr>
      <w:fldChar w:fldCharType="separate"/>
    </w:r>
    <w:r w:rsidR="004D6676">
      <w:rPr>
        <w:rStyle w:val="PageNumber"/>
        <w:noProof/>
      </w:rPr>
      <w:t>4</w:t>
    </w:r>
    <w:r>
      <w:rPr>
        <w:rStyle w:val="PageNumber"/>
      </w:rPr>
      <w:fldChar w:fldCharType="end"/>
    </w:r>
  </w:p>
  <w:p w:rsidR="0010044E" w:rsidRDefault="0010044E">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0320D1">
    <w:pPr>
      <w:pStyle w:val="Footer"/>
      <w:jc w:val="center"/>
    </w:pPr>
    <w:r>
      <w:rPr>
        <w:rStyle w:val="PageNumber"/>
      </w:rPr>
      <w:fldChar w:fldCharType="begin"/>
    </w:r>
    <w:r w:rsidR="0010044E">
      <w:rPr>
        <w:rStyle w:val="PageNumber"/>
      </w:rPr>
      <w:instrText xml:space="preserve"> PAGE </w:instrText>
    </w:r>
    <w:r>
      <w:rPr>
        <w:rStyle w:val="PageNumber"/>
      </w:rPr>
      <w:fldChar w:fldCharType="separate"/>
    </w:r>
    <w:r w:rsidR="004D667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E3" w:rsidRDefault="00A722E3">
      <w:r>
        <w:separator/>
      </w:r>
    </w:p>
  </w:footnote>
  <w:footnote w:type="continuationSeparator" w:id="0">
    <w:p w:rsidR="00A722E3" w:rsidRDefault="00A722E3">
      <w:r>
        <w:continuationSeparator/>
      </w:r>
    </w:p>
  </w:footnote>
  <w:footnote w:id="1">
    <w:p w:rsidR="0010044E" w:rsidRDefault="0010044E">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2">
    <w:p w:rsidR="0010044E" w:rsidRDefault="0010044E">
      <w:pPr>
        <w:pStyle w:val="FootnoteText"/>
      </w:pPr>
      <w:r>
        <w:rPr>
          <w:rStyle w:val="FootnoteReference"/>
        </w:rPr>
        <w:footnoteRef/>
      </w:r>
      <w:r>
        <w:t xml:space="preserve"> This represents the LEP population of the City of Fort Collins and Larimer County, not the Transfort service area. At the time of the Compliance Review, Transfort had not calculated the LEP population in its service area.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10044E">
    <w:pPr>
      <w:pStyle w:val="Header"/>
    </w:pPr>
  </w:p>
  <w:p w:rsidR="0010044E" w:rsidRDefault="00100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E" w:rsidRDefault="0010044E">
    <w:pPr>
      <w:pStyle w:val="Header"/>
    </w:pPr>
  </w:p>
  <w:p w:rsidR="0010044E" w:rsidRDefault="00100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B3CA0"/>
    <w:multiLevelType w:val="hybridMultilevel"/>
    <w:tmpl w:val="077A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30C3A"/>
    <w:multiLevelType w:val="hybridMultilevel"/>
    <w:tmpl w:val="6A58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F102B"/>
    <w:multiLevelType w:val="singleLevel"/>
    <w:tmpl w:val="2C981812"/>
    <w:lvl w:ilvl="0">
      <w:start w:val="1"/>
      <w:numFmt w:val="decimal"/>
      <w:pStyle w:val="BHLevel2"/>
      <w:lvlText w:val="%1."/>
      <w:lvlJc w:val="left"/>
      <w:pPr>
        <w:tabs>
          <w:tab w:val="num" w:pos="3690"/>
        </w:tabs>
        <w:ind w:left="3690" w:hanging="720"/>
      </w:pPr>
      <w:rPr>
        <w:rFonts w:ascii="Times New Roman" w:hAnsi="Times New Roman" w:hint="default"/>
        <w:b/>
        <w:i w:val="0"/>
        <w:sz w:val="24"/>
        <w:u w:val="none"/>
      </w:rPr>
    </w:lvl>
  </w:abstractNum>
  <w:abstractNum w:abstractNumId="5">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D66B5B"/>
    <w:multiLevelType w:val="hybridMultilevel"/>
    <w:tmpl w:val="C32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77327AB"/>
    <w:multiLevelType w:val="hybridMultilevel"/>
    <w:tmpl w:val="3690B9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2E2630F6"/>
    <w:multiLevelType w:val="singleLevel"/>
    <w:tmpl w:val="33E073C4"/>
    <w:lvl w:ilvl="0">
      <w:start w:val="1"/>
      <w:numFmt w:val="lowerLetter"/>
      <w:lvlText w:val="%1."/>
      <w:lvlJc w:val="left"/>
      <w:pPr>
        <w:tabs>
          <w:tab w:val="num" w:pos="360"/>
        </w:tabs>
        <w:ind w:left="360" w:hanging="360"/>
      </w:pPr>
    </w:lvl>
  </w:abstractNum>
  <w:abstractNum w:abstractNumId="10">
    <w:nsid w:val="333412D5"/>
    <w:multiLevelType w:val="hybridMultilevel"/>
    <w:tmpl w:val="1834EE42"/>
    <w:lvl w:ilvl="0" w:tplc="BFC0DD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758D3"/>
    <w:multiLevelType w:val="hybridMultilevel"/>
    <w:tmpl w:val="D642293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3D9F38C4"/>
    <w:multiLevelType w:val="hybridMultilevel"/>
    <w:tmpl w:val="ED7678BA"/>
    <w:lvl w:ilvl="0" w:tplc="33CCA50A">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04AAA"/>
    <w:multiLevelType w:val="hybridMultilevel"/>
    <w:tmpl w:val="1FC6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15E19"/>
    <w:multiLevelType w:val="singleLevel"/>
    <w:tmpl w:val="33E073C4"/>
    <w:lvl w:ilvl="0">
      <w:start w:val="1"/>
      <w:numFmt w:val="lowerLetter"/>
      <w:lvlText w:val="%1."/>
      <w:lvlJc w:val="left"/>
      <w:pPr>
        <w:tabs>
          <w:tab w:val="num" w:pos="360"/>
        </w:tabs>
        <w:ind w:left="360" w:hanging="360"/>
      </w:pPr>
    </w:lvl>
  </w:abstractNum>
  <w:abstractNum w:abstractNumId="15">
    <w:nsid w:val="49AC07BF"/>
    <w:multiLevelType w:val="hybridMultilevel"/>
    <w:tmpl w:val="94B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4072D"/>
    <w:multiLevelType w:val="hybridMultilevel"/>
    <w:tmpl w:val="8A16E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165D5"/>
    <w:multiLevelType w:val="hybridMultilevel"/>
    <w:tmpl w:val="C85E6DEC"/>
    <w:lvl w:ilvl="0" w:tplc="F71A65C0">
      <w:start w:val="1"/>
      <w:numFmt w:val="decimal"/>
      <w:lvlText w:val="%1."/>
      <w:lvlJc w:val="left"/>
      <w:pPr>
        <w:tabs>
          <w:tab w:val="num" w:pos="720"/>
        </w:tabs>
        <w:ind w:left="720" w:hanging="360"/>
      </w:pPr>
    </w:lvl>
    <w:lvl w:ilvl="1" w:tplc="06EE326A" w:tentative="1">
      <w:start w:val="1"/>
      <w:numFmt w:val="lowerLetter"/>
      <w:lvlText w:val="%2."/>
      <w:lvlJc w:val="left"/>
      <w:pPr>
        <w:tabs>
          <w:tab w:val="num" w:pos="1440"/>
        </w:tabs>
        <w:ind w:left="1440" w:hanging="360"/>
      </w:pPr>
    </w:lvl>
    <w:lvl w:ilvl="2" w:tplc="6F20AC7A" w:tentative="1">
      <w:start w:val="1"/>
      <w:numFmt w:val="lowerRoman"/>
      <w:lvlText w:val="%3."/>
      <w:lvlJc w:val="right"/>
      <w:pPr>
        <w:tabs>
          <w:tab w:val="num" w:pos="2160"/>
        </w:tabs>
        <w:ind w:left="2160" w:hanging="180"/>
      </w:pPr>
    </w:lvl>
    <w:lvl w:ilvl="3" w:tplc="53FC748C" w:tentative="1">
      <w:start w:val="1"/>
      <w:numFmt w:val="decimal"/>
      <w:lvlText w:val="%4."/>
      <w:lvlJc w:val="left"/>
      <w:pPr>
        <w:tabs>
          <w:tab w:val="num" w:pos="2880"/>
        </w:tabs>
        <w:ind w:left="2880" w:hanging="360"/>
      </w:pPr>
    </w:lvl>
    <w:lvl w:ilvl="4" w:tplc="9B2A2C06" w:tentative="1">
      <w:start w:val="1"/>
      <w:numFmt w:val="lowerLetter"/>
      <w:lvlText w:val="%5."/>
      <w:lvlJc w:val="left"/>
      <w:pPr>
        <w:tabs>
          <w:tab w:val="num" w:pos="3600"/>
        </w:tabs>
        <w:ind w:left="3600" w:hanging="360"/>
      </w:pPr>
    </w:lvl>
    <w:lvl w:ilvl="5" w:tplc="3F2AB1D8" w:tentative="1">
      <w:start w:val="1"/>
      <w:numFmt w:val="lowerRoman"/>
      <w:lvlText w:val="%6."/>
      <w:lvlJc w:val="right"/>
      <w:pPr>
        <w:tabs>
          <w:tab w:val="num" w:pos="4320"/>
        </w:tabs>
        <w:ind w:left="4320" w:hanging="180"/>
      </w:pPr>
    </w:lvl>
    <w:lvl w:ilvl="6" w:tplc="354615C6" w:tentative="1">
      <w:start w:val="1"/>
      <w:numFmt w:val="decimal"/>
      <w:lvlText w:val="%7."/>
      <w:lvlJc w:val="left"/>
      <w:pPr>
        <w:tabs>
          <w:tab w:val="num" w:pos="5040"/>
        </w:tabs>
        <w:ind w:left="5040" w:hanging="360"/>
      </w:pPr>
    </w:lvl>
    <w:lvl w:ilvl="7" w:tplc="C07E2438" w:tentative="1">
      <w:start w:val="1"/>
      <w:numFmt w:val="lowerLetter"/>
      <w:lvlText w:val="%8."/>
      <w:lvlJc w:val="left"/>
      <w:pPr>
        <w:tabs>
          <w:tab w:val="num" w:pos="5760"/>
        </w:tabs>
        <w:ind w:left="5760" w:hanging="360"/>
      </w:pPr>
    </w:lvl>
    <w:lvl w:ilvl="8" w:tplc="D40E9D42" w:tentative="1">
      <w:start w:val="1"/>
      <w:numFmt w:val="lowerRoman"/>
      <w:lvlText w:val="%9."/>
      <w:lvlJc w:val="right"/>
      <w:pPr>
        <w:tabs>
          <w:tab w:val="num" w:pos="6480"/>
        </w:tabs>
        <w:ind w:left="6480" w:hanging="180"/>
      </w:pPr>
    </w:lvl>
  </w:abstractNum>
  <w:abstractNum w:abstractNumId="19">
    <w:nsid w:val="56565C87"/>
    <w:multiLevelType w:val="hybridMultilevel"/>
    <w:tmpl w:val="EB84BCF2"/>
    <w:lvl w:ilvl="0" w:tplc="0409000F">
      <w:start w:val="1"/>
      <w:numFmt w:val="bullet"/>
      <w:lvlText w:val=""/>
      <w:lvlJc w:val="left"/>
      <w:pPr>
        <w:tabs>
          <w:tab w:val="num" w:pos="720"/>
        </w:tabs>
        <w:ind w:left="720" w:hanging="360"/>
      </w:pPr>
      <w:rPr>
        <w:rFonts w:ascii="Symbol" w:hAnsi="Symbol" w:hint="default"/>
      </w:rPr>
    </w:lvl>
    <w:lvl w:ilvl="1" w:tplc="6D944124" w:tentative="1">
      <w:start w:val="1"/>
      <w:numFmt w:val="bullet"/>
      <w:lvlText w:val="o"/>
      <w:lvlJc w:val="left"/>
      <w:pPr>
        <w:tabs>
          <w:tab w:val="num" w:pos="1440"/>
        </w:tabs>
        <w:ind w:left="1440" w:hanging="360"/>
      </w:pPr>
      <w:rPr>
        <w:rFonts w:ascii="Courier New" w:hAnsi="Courier New" w:hint="default"/>
      </w:rPr>
    </w:lvl>
    <w:lvl w:ilvl="2" w:tplc="B9489FA2"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5B2437D5"/>
    <w:multiLevelType w:val="hybridMultilevel"/>
    <w:tmpl w:val="5706EEC4"/>
    <w:lvl w:ilvl="0" w:tplc="33CCA50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EC16513"/>
    <w:multiLevelType w:val="hybridMultilevel"/>
    <w:tmpl w:val="B3766DCC"/>
    <w:lvl w:ilvl="0" w:tplc="A796BA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175308"/>
    <w:multiLevelType w:val="singleLevel"/>
    <w:tmpl w:val="0409000F"/>
    <w:lvl w:ilvl="0">
      <w:start w:val="1"/>
      <w:numFmt w:val="decimal"/>
      <w:lvlText w:val="%1."/>
      <w:lvlJc w:val="left"/>
      <w:pPr>
        <w:tabs>
          <w:tab w:val="num" w:pos="720"/>
        </w:tabs>
        <w:ind w:left="720" w:hanging="360"/>
      </w:pPr>
    </w:lvl>
  </w:abstractNum>
  <w:abstractNum w:abstractNumId="23">
    <w:nsid w:val="6C716B75"/>
    <w:multiLevelType w:val="hybridMultilevel"/>
    <w:tmpl w:val="7D36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382EC9"/>
    <w:multiLevelType w:val="hybridMultilevel"/>
    <w:tmpl w:val="02A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A0064"/>
    <w:multiLevelType w:val="hybridMultilevel"/>
    <w:tmpl w:val="15D27202"/>
    <w:lvl w:ilvl="0" w:tplc="33CCA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3243B9"/>
    <w:multiLevelType w:val="hybridMultilevel"/>
    <w:tmpl w:val="AAB68B7A"/>
    <w:lvl w:ilvl="0" w:tplc="702262B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2"/>
  </w:num>
  <w:num w:numId="5">
    <w:abstractNumId w:val="14"/>
  </w:num>
  <w:num w:numId="6">
    <w:abstractNumId w:val="9"/>
  </w:num>
  <w:num w:numId="7">
    <w:abstractNumId w:val="4"/>
  </w:num>
  <w:num w:numId="8">
    <w:abstractNumId w:val="19"/>
  </w:num>
  <w:num w:numId="9">
    <w:abstractNumId w:val="20"/>
  </w:num>
  <w:num w:numId="10">
    <w:abstractNumId w:val="17"/>
  </w:num>
  <w:num w:numId="11">
    <w:abstractNumId w:val="21"/>
  </w:num>
  <w:num w:numId="12">
    <w:abstractNumId w:val="25"/>
  </w:num>
  <w:num w:numId="13">
    <w:abstractNumId w:val="6"/>
  </w:num>
  <w:num w:numId="14">
    <w:abstractNumId w:val="26"/>
  </w:num>
  <w:num w:numId="15">
    <w:abstractNumId w:val="12"/>
  </w:num>
  <w:num w:numId="16">
    <w:abstractNumId w:val="2"/>
  </w:num>
  <w:num w:numId="17">
    <w:abstractNumId w:val="3"/>
  </w:num>
  <w:num w:numId="18">
    <w:abstractNumId w:val="13"/>
  </w:num>
  <w:num w:numId="19">
    <w:abstractNumId w:val="23"/>
  </w:num>
  <w:num w:numId="20">
    <w:abstractNumId w:val="10"/>
  </w:num>
  <w:num w:numId="21">
    <w:abstractNumId w:val="18"/>
  </w:num>
  <w:num w:numId="22">
    <w:abstractNumId w:val="16"/>
  </w:num>
  <w:num w:numId="23">
    <w:abstractNumId w:val="15"/>
  </w:num>
  <w:num w:numId="24">
    <w:abstractNumId w:val="5"/>
  </w:num>
  <w:num w:numId="25">
    <w:abstractNumId w:val="11"/>
  </w:num>
  <w:num w:numId="26">
    <w:abstractNumId w:val="8"/>
  </w:num>
  <w:num w:numId="27">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6748"/>
    <w:rsid w:val="0002657A"/>
    <w:rsid w:val="000320D1"/>
    <w:rsid w:val="00090FA3"/>
    <w:rsid w:val="00093D8F"/>
    <w:rsid w:val="0010044E"/>
    <w:rsid w:val="001E6A59"/>
    <w:rsid w:val="002112C5"/>
    <w:rsid w:val="002276E8"/>
    <w:rsid w:val="002A2B20"/>
    <w:rsid w:val="00312ABE"/>
    <w:rsid w:val="00351C62"/>
    <w:rsid w:val="00366748"/>
    <w:rsid w:val="003C0555"/>
    <w:rsid w:val="003D5B83"/>
    <w:rsid w:val="004A054E"/>
    <w:rsid w:val="004B5D22"/>
    <w:rsid w:val="004D6676"/>
    <w:rsid w:val="00567079"/>
    <w:rsid w:val="005804BA"/>
    <w:rsid w:val="005D212E"/>
    <w:rsid w:val="007301DC"/>
    <w:rsid w:val="007A52E1"/>
    <w:rsid w:val="007B0A40"/>
    <w:rsid w:val="007B58CA"/>
    <w:rsid w:val="00865721"/>
    <w:rsid w:val="008F7AF3"/>
    <w:rsid w:val="00910D98"/>
    <w:rsid w:val="009E14F4"/>
    <w:rsid w:val="00A26743"/>
    <w:rsid w:val="00A43141"/>
    <w:rsid w:val="00A61D2D"/>
    <w:rsid w:val="00A722E3"/>
    <w:rsid w:val="00B4669F"/>
    <w:rsid w:val="00B534A7"/>
    <w:rsid w:val="00B83D15"/>
    <w:rsid w:val="00BD1919"/>
    <w:rsid w:val="00C437B4"/>
    <w:rsid w:val="00CA5F57"/>
    <w:rsid w:val="00CC7FA5"/>
    <w:rsid w:val="00D1190F"/>
    <w:rsid w:val="00D14D97"/>
    <w:rsid w:val="00D4442A"/>
    <w:rsid w:val="00D8532C"/>
    <w:rsid w:val="00DF2694"/>
    <w:rsid w:val="00F05785"/>
    <w:rsid w:val="00F45D54"/>
    <w:rsid w:val="00F63B47"/>
    <w:rsid w:val="00F94EBC"/>
    <w:rsid w:val="00F96013"/>
    <w:rsid w:val="00FC2F6C"/>
    <w:rsid w:val="00FF2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C5"/>
  </w:style>
  <w:style w:type="paragraph" w:styleId="Heading1">
    <w:name w:val="heading 1"/>
    <w:basedOn w:val="Normal"/>
    <w:next w:val="Normal"/>
    <w:qFormat/>
    <w:rsid w:val="002112C5"/>
    <w:pPr>
      <w:keepNext/>
      <w:jc w:val="center"/>
      <w:outlineLvl w:val="0"/>
    </w:pPr>
    <w:rPr>
      <w:b/>
    </w:rPr>
  </w:style>
  <w:style w:type="paragraph" w:styleId="Heading2">
    <w:name w:val="heading 2"/>
    <w:basedOn w:val="Normal"/>
    <w:next w:val="Normal"/>
    <w:qFormat/>
    <w:rsid w:val="002112C5"/>
    <w:pPr>
      <w:keepNext/>
      <w:outlineLvl w:val="1"/>
    </w:pPr>
    <w:rPr>
      <w:b/>
    </w:rPr>
  </w:style>
  <w:style w:type="paragraph" w:styleId="Heading3">
    <w:name w:val="heading 3"/>
    <w:basedOn w:val="Normal"/>
    <w:next w:val="Normal"/>
    <w:qFormat/>
    <w:rsid w:val="002112C5"/>
    <w:pPr>
      <w:keepNext/>
      <w:outlineLvl w:val="2"/>
    </w:pPr>
    <w:rPr>
      <w:sz w:val="24"/>
    </w:rPr>
  </w:style>
  <w:style w:type="paragraph" w:styleId="Heading4">
    <w:name w:val="heading 4"/>
    <w:basedOn w:val="Normal"/>
    <w:next w:val="Normal"/>
    <w:qFormat/>
    <w:rsid w:val="002112C5"/>
    <w:pPr>
      <w:keepNext/>
      <w:outlineLvl w:val="3"/>
    </w:pPr>
    <w:rPr>
      <w:b/>
      <w:sz w:val="24"/>
    </w:rPr>
  </w:style>
  <w:style w:type="paragraph" w:styleId="Heading5">
    <w:name w:val="heading 5"/>
    <w:basedOn w:val="Normal"/>
    <w:next w:val="Normal"/>
    <w:qFormat/>
    <w:rsid w:val="002112C5"/>
    <w:pPr>
      <w:keepNext/>
      <w:outlineLvl w:val="4"/>
    </w:pPr>
    <w:rPr>
      <w:sz w:val="24"/>
      <w:u w:val="single"/>
    </w:rPr>
  </w:style>
  <w:style w:type="paragraph" w:styleId="Heading6">
    <w:name w:val="heading 6"/>
    <w:basedOn w:val="Normal"/>
    <w:next w:val="Normal"/>
    <w:qFormat/>
    <w:rsid w:val="002112C5"/>
    <w:pPr>
      <w:keepNext/>
      <w:ind w:left="720" w:firstLine="720"/>
      <w:outlineLvl w:val="5"/>
    </w:pPr>
    <w:rPr>
      <w:sz w:val="24"/>
    </w:rPr>
  </w:style>
  <w:style w:type="paragraph" w:styleId="Heading7">
    <w:name w:val="heading 7"/>
    <w:basedOn w:val="Normal"/>
    <w:next w:val="Normal"/>
    <w:qFormat/>
    <w:rsid w:val="002112C5"/>
    <w:pPr>
      <w:keepNext/>
      <w:ind w:left="1440"/>
      <w:outlineLvl w:val="6"/>
    </w:pPr>
    <w:rPr>
      <w:sz w:val="24"/>
    </w:rPr>
  </w:style>
  <w:style w:type="paragraph" w:styleId="Heading8">
    <w:name w:val="heading 8"/>
    <w:basedOn w:val="Normal"/>
    <w:next w:val="Normal"/>
    <w:qFormat/>
    <w:rsid w:val="002112C5"/>
    <w:pPr>
      <w:keepNext/>
      <w:outlineLvl w:val="7"/>
    </w:pPr>
    <w:rPr>
      <w:b/>
      <w:sz w:val="24"/>
      <w:u w:val="single"/>
    </w:rPr>
  </w:style>
  <w:style w:type="paragraph" w:styleId="Heading9">
    <w:name w:val="heading 9"/>
    <w:basedOn w:val="Normal"/>
    <w:next w:val="Normal"/>
    <w:qFormat/>
    <w:rsid w:val="002112C5"/>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2C5"/>
    <w:pPr>
      <w:jc w:val="center"/>
    </w:pPr>
    <w:rPr>
      <w:sz w:val="24"/>
    </w:rPr>
  </w:style>
  <w:style w:type="paragraph" w:styleId="BodyText">
    <w:name w:val="Body Text"/>
    <w:basedOn w:val="Normal"/>
    <w:semiHidden/>
    <w:rsid w:val="002112C5"/>
    <w:rPr>
      <w:sz w:val="24"/>
    </w:rPr>
  </w:style>
  <w:style w:type="paragraph" w:styleId="Header">
    <w:name w:val="header"/>
    <w:basedOn w:val="Normal"/>
    <w:semiHidden/>
    <w:rsid w:val="002112C5"/>
    <w:pPr>
      <w:tabs>
        <w:tab w:val="center" w:pos="4320"/>
        <w:tab w:val="right" w:pos="8640"/>
      </w:tabs>
    </w:pPr>
  </w:style>
  <w:style w:type="paragraph" w:styleId="Footer">
    <w:name w:val="footer"/>
    <w:basedOn w:val="Normal"/>
    <w:semiHidden/>
    <w:rsid w:val="002112C5"/>
    <w:pPr>
      <w:tabs>
        <w:tab w:val="center" w:pos="4320"/>
        <w:tab w:val="right" w:pos="8640"/>
      </w:tabs>
    </w:pPr>
  </w:style>
  <w:style w:type="character" w:styleId="PageNumber">
    <w:name w:val="page number"/>
    <w:basedOn w:val="DefaultParagraphFont"/>
    <w:semiHidden/>
    <w:rsid w:val="002112C5"/>
  </w:style>
  <w:style w:type="paragraph" w:styleId="List">
    <w:name w:val="List"/>
    <w:basedOn w:val="Normal"/>
    <w:semiHidden/>
    <w:rsid w:val="002112C5"/>
    <w:pPr>
      <w:ind w:left="360" w:hanging="360"/>
    </w:pPr>
  </w:style>
  <w:style w:type="paragraph" w:styleId="List2">
    <w:name w:val="List 2"/>
    <w:basedOn w:val="Normal"/>
    <w:semiHidden/>
    <w:rsid w:val="002112C5"/>
    <w:pPr>
      <w:ind w:left="720" w:hanging="360"/>
    </w:pPr>
  </w:style>
  <w:style w:type="paragraph" w:styleId="ListBullet">
    <w:name w:val="List Bullet"/>
    <w:basedOn w:val="Normal"/>
    <w:autoRedefine/>
    <w:semiHidden/>
    <w:rsid w:val="002112C5"/>
    <w:pPr>
      <w:numPr>
        <w:numId w:val="2"/>
      </w:numPr>
    </w:pPr>
  </w:style>
  <w:style w:type="paragraph" w:styleId="ListBullet2">
    <w:name w:val="List Bullet 2"/>
    <w:basedOn w:val="Normal"/>
    <w:autoRedefine/>
    <w:semiHidden/>
    <w:rsid w:val="002112C5"/>
    <w:pPr>
      <w:numPr>
        <w:numId w:val="3"/>
      </w:numPr>
    </w:pPr>
  </w:style>
  <w:style w:type="paragraph" w:styleId="ListContinue2">
    <w:name w:val="List Continue 2"/>
    <w:basedOn w:val="Normal"/>
    <w:semiHidden/>
    <w:rsid w:val="002112C5"/>
    <w:pPr>
      <w:spacing w:after="120"/>
      <w:ind w:left="720"/>
    </w:pPr>
  </w:style>
  <w:style w:type="paragraph" w:customStyle="1" w:styleId="InsideAddress">
    <w:name w:val="Inside Address"/>
    <w:basedOn w:val="Normal"/>
    <w:rsid w:val="002112C5"/>
  </w:style>
  <w:style w:type="paragraph" w:styleId="BodyTextIndent">
    <w:name w:val="Body Text Indent"/>
    <w:basedOn w:val="Normal"/>
    <w:semiHidden/>
    <w:rsid w:val="002112C5"/>
    <w:pPr>
      <w:spacing w:after="120"/>
      <w:ind w:left="360"/>
    </w:pPr>
  </w:style>
  <w:style w:type="paragraph" w:styleId="Subtitle">
    <w:name w:val="Subtitle"/>
    <w:basedOn w:val="Normal"/>
    <w:qFormat/>
    <w:rsid w:val="002112C5"/>
    <w:pPr>
      <w:spacing w:after="60"/>
      <w:jc w:val="center"/>
      <w:outlineLvl w:val="1"/>
    </w:pPr>
    <w:rPr>
      <w:rFonts w:ascii="Arial" w:hAnsi="Arial"/>
      <w:sz w:val="24"/>
    </w:rPr>
  </w:style>
  <w:style w:type="paragraph" w:customStyle="1" w:styleId="ReferenceLine">
    <w:name w:val="Reference Line"/>
    <w:basedOn w:val="BodyText"/>
    <w:rsid w:val="002112C5"/>
  </w:style>
  <w:style w:type="paragraph" w:styleId="BodyText2">
    <w:name w:val="Body Text 2"/>
    <w:basedOn w:val="Normal"/>
    <w:semiHidden/>
    <w:rsid w:val="002112C5"/>
    <w:pPr>
      <w:spacing w:line="480" w:lineRule="auto"/>
      <w:jc w:val="center"/>
    </w:pPr>
    <w:rPr>
      <w:b/>
      <w:sz w:val="32"/>
    </w:rPr>
  </w:style>
  <w:style w:type="paragraph" w:styleId="TOC1">
    <w:name w:val="toc 1"/>
    <w:basedOn w:val="Normal"/>
    <w:next w:val="Normal"/>
    <w:autoRedefine/>
    <w:semiHidden/>
    <w:rsid w:val="002112C5"/>
    <w:pPr>
      <w:tabs>
        <w:tab w:val="left" w:pos="720"/>
        <w:tab w:val="right" w:leader="dot" w:pos="9360"/>
      </w:tabs>
      <w:spacing w:before="240" w:line="480" w:lineRule="auto"/>
    </w:pPr>
    <w:rPr>
      <w:noProof/>
      <w:sz w:val="24"/>
    </w:rPr>
  </w:style>
  <w:style w:type="paragraph" w:styleId="TOC2">
    <w:name w:val="toc 2"/>
    <w:basedOn w:val="Normal"/>
    <w:next w:val="Normal"/>
    <w:autoRedefine/>
    <w:semiHidden/>
    <w:rsid w:val="002112C5"/>
    <w:pPr>
      <w:tabs>
        <w:tab w:val="left" w:pos="720"/>
        <w:tab w:val="left" w:pos="1170"/>
        <w:tab w:val="right" w:leader="dot" w:pos="9350"/>
      </w:tabs>
      <w:ind w:left="720"/>
    </w:pPr>
    <w:rPr>
      <w:noProof/>
      <w:sz w:val="24"/>
    </w:rPr>
  </w:style>
  <w:style w:type="paragraph" w:customStyle="1" w:styleId="BHLevel2">
    <w:name w:val="BHLevel2"/>
    <w:basedOn w:val="Normal"/>
    <w:next w:val="Normal"/>
    <w:rsid w:val="002112C5"/>
    <w:pPr>
      <w:keepNext/>
      <w:numPr>
        <w:numId w:val="7"/>
      </w:numPr>
      <w:tabs>
        <w:tab w:val="clear" w:pos="3690"/>
        <w:tab w:val="num" w:pos="1440"/>
      </w:tabs>
      <w:spacing w:before="240" w:after="240"/>
      <w:ind w:hanging="2970"/>
      <w:outlineLvl w:val="1"/>
    </w:pPr>
    <w:rPr>
      <w:b/>
      <w:sz w:val="28"/>
      <w:szCs w:val="28"/>
      <w:u w:val="single"/>
    </w:rPr>
  </w:style>
  <w:style w:type="paragraph" w:customStyle="1" w:styleId="BHLevel1">
    <w:name w:val="BHLevel1"/>
    <w:basedOn w:val="Normal"/>
    <w:next w:val="Normal"/>
    <w:rsid w:val="002112C5"/>
    <w:pPr>
      <w:tabs>
        <w:tab w:val="num" w:pos="720"/>
      </w:tabs>
      <w:spacing w:before="240" w:after="240"/>
      <w:ind w:left="720" w:hanging="720"/>
      <w:outlineLvl w:val="0"/>
    </w:pPr>
    <w:rPr>
      <w:b/>
      <w:caps/>
      <w:sz w:val="24"/>
      <w:u w:val="single"/>
    </w:rPr>
  </w:style>
  <w:style w:type="paragraph" w:styleId="ListBullet3">
    <w:name w:val="List Bullet 3"/>
    <w:basedOn w:val="Normal"/>
    <w:autoRedefine/>
    <w:semiHidden/>
    <w:rsid w:val="002112C5"/>
    <w:pPr>
      <w:tabs>
        <w:tab w:val="num" w:pos="1080"/>
      </w:tabs>
      <w:ind w:left="1080" w:hanging="360"/>
    </w:pPr>
    <w:rPr>
      <w:noProof/>
      <w:sz w:val="24"/>
    </w:rPr>
  </w:style>
  <w:style w:type="paragraph" w:styleId="ListBullet4">
    <w:name w:val="List Bullet 4"/>
    <w:basedOn w:val="Normal"/>
    <w:autoRedefine/>
    <w:semiHidden/>
    <w:rsid w:val="002112C5"/>
    <w:pPr>
      <w:tabs>
        <w:tab w:val="num" w:pos="1440"/>
      </w:tabs>
      <w:ind w:left="1440" w:hanging="360"/>
    </w:pPr>
    <w:rPr>
      <w:noProof/>
      <w:sz w:val="24"/>
    </w:rPr>
  </w:style>
  <w:style w:type="character" w:styleId="Hyperlink">
    <w:name w:val="Hyperlink"/>
    <w:basedOn w:val="DefaultParagraphFont"/>
    <w:semiHidden/>
    <w:rsid w:val="002112C5"/>
    <w:rPr>
      <w:color w:val="0000FF"/>
      <w:u w:val="single"/>
    </w:rPr>
  </w:style>
  <w:style w:type="paragraph" w:styleId="BodyTextIndent2">
    <w:name w:val="Body Text Indent 2"/>
    <w:basedOn w:val="Normal"/>
    <w:semiHidden/>
    <w:rsid w:val="002112C5"/>
    <w:pPr>
      <w:ind w:firstLine="720"/>
    </w:pPr>
    <w:rPr>
      <w:sz w:val="22"/>
    </w:rPr>
  </w:style>
  <w:style w:type="paragraph" w:styleId="BodyTextIndent3">
    <w:name w:val="Body Text Indent 3"/>
    <w:basedOn w:val="Normal"/>
    <w:semiHidden/>
    <w:rsid w:val="002112C5"/>
    <w:pPr>
      <w:ind w:left="720"/>
    </w:pPr>
    <w:rPr>
      <w:sz w:val="24"/>
    </w:rPr>
  </w:style>
  <w:style w:type="character" w:styleId="FollowedHyperlink">
    <w:name w:val="FollowedHyperlink"/>
    <w:basedOn w:val="DefaultParagraphFont"/>
    <w:semiHidden/>
    <w:rsid w:val="002112C5"/>
    <w:rPr>
      <w:color w:val="800080"/>
      <w:u w:val="single"/>
    </w:rPr>
  </w:style>
  <w:style w:type="paragraph" w:styleId="BodyText3">
    <w:name w:val="Body Text 3"/>
    <w:basedOn w:val="Normal"/>
    <w:semiHidden/>
    <w:rsid w:val="002112C5"/>
    <w:rPr>
      <w:b/>
      <w:i/>
      <w:iCs/>
      <w:sz w:val="24"/>
      <w:u w:val="single"/>
    </w:rPr>
  </w:style>
  <w:style w:type="paragraph" w:styleId="BalloonText">
    <w:name w:val="Balloon Text"/>
    <w:basedOn w:val="Normal"/>
    <w:semiHidden/>
    <w:rsid w:val="002112C5"/>
    <w:rPr>
      <w:rFonts w:ascii="Tahoma" w:hAnsi="Tahoma" w:cs="Tahoma"/>
      <w:sz w:val="16"/>
      <w:szCs w:val="16"/>
    </w:rPr>
  </w:style>
  <w:style w:type="paragraph" w:styleId="FootnoteText">
    <w:name w:val="footnote text"/>
    <w:basedOn w:val="Normal"/>
    <w:semiHidden/>
    <w:rsid w:val="002112C5"/>
  </w:style>
  <w:style w:type="character" w:customStyle="1" w:styleId="BHLevel1Char">
    <w:name w:val="BHLevel1 Char"/>
    <w:basedOn w:val="DefaultParagraphFont"/>
    <w:rsid w:val="002112C5"/>
    <w:rPr>
      <w:b/>
      <w:caps/>
      <w:noProof w:val="0"/>
      <w:sz w:val="24"/>
      <w:u w:val="single"/>
      <w:lang w:val="en-US" w:eastAsia="en-US" w:bidi="ar-SA"/>
    </w:rPr>
  </w:style>
  <w:style w:type="character" w:styleId="FootnoteReference">
    <w:name w:val="footnote reference"/>
    <w:basedOn w:val="DefaultParagraphFont"/>
    <w:semiHidden/>
    <w:rsid w:val="002112C5"/>
    <w:rPr>
      <w:vertAlign w:val="superscript"/>
    </w:rPr>
  </w:style>
  <w:style w:type="paragraph" w:customStyle="1" w:styleId="NumberList">
    <w:name w:val="Number List"/>
    <w:basedOn w:val="Normal"/>
    <w:rsid w:val="002112C5"/>
    <w:rPr>
      <w:noProof/>
      <w:sz w:val="24"/>
    </w:rPr>
  </w:style>
  <w:style w:type="paragraph" w:styleId="DocumentMap">
    <w:name w:val="Document Map"/>
    <w:basedOn w:val="Normal"/>
    <w:semiHidden/>
    <w:rsid w:val="002112C5"/>
    <w:pPr>
      <w:shd w:val="clear" w:color="auto" w:fill="000080"/>
    </w:pPr>
    <w:rPr>
      <w:rFonts w:ascii="Tahoma" w:hAnsi="Tahoma" w:cs="Tahoma"/>
    </w:rPr>
  </w:style>
  <w:style w:type="paragraph" w:customStyle="1" w:styleId="body">
    <w:name w:val="body"/>
    <w:basedOn w:val="Normal"/>
    <w:rsid w:val="002112C5"/>
    <w:pPr>
      <w:spacing w:before="100" w:beforeAutospacing="1" w:after="100" w:afterAutospacing="1"/>
    </w:pPr>
    <w:rPr>
      <w:rFonts w:ascii="Verdana" w:hAnsi="Verdana"/>
      <w:sz w:val="26"/>
      <w:szCs w:val="26"/>
    </w:rPr>
  </w:style>
  <w:style w:type="character" w:customStyle="1" w:styleId="body1">
    <w:name w:val="body1"/>
    <w:basedOn w:val="DefaultParagraphFont"/>
    <w:rsid w:val="002112C5"/>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2112C5"/>
    <w:pPr>
      <w:spacing w:before="100" w:beforeAutospacing="1" w:after="100" w:afterAutospacing="1"/>
      <w:ind w:left="1440" w:right="1440"/>
    </w:pPr>
    <w:rPr>
      <w:color w:val="464646"/>
      <w:spacing w:val="4"/>
      <w:sz w:val="28"/>
    </w:rPr>
  </w:style>
  <w:style w:type="paragraph" w:customStyle="1" w:styleId="Outlinea">
    <w:name w:val="Outline a"/>
    <w:basedOn w:val="BodyText"/>
    <w:rsid w:val="002112C5"/>
    <w:pPr>
      <w:tabs>
        <w:tab w:val="num" w:pos="720"/>
      </w:tabs>
      <w:spacing w:after="240"/>
      <w:ind w:left="720" w:hanging="360"/>
    </w:pPr>
  </w:style>
  <w:style w:type="paragraph" w:styleId="NormalWeb">
    <w:name w:val="Normal (Web)"/>
    <w:basedOn w:val="Normal"/>
    <w:semiHidden/>
    <w:rsid w:val="002112C5"/>
    <w:pPr>
      <w:spacing w:before="100" w:beforeAutospacing="1" w:after="100" w:afterAutospacing="1"/>
    </w:pPr>
    <w:rPr>
      <w:sz w:val="24"/>
      <w:szCs w:val="24"/>
    </w:rPr>
  </w:style>
  <w:style w:type="paragraph" w:customStyle="1" w:styleId="Outline1">
    <w:name w:val="Outline 1"/>
    <w:basedOn w:val="BodyText"/>
    <w:rsid w:val="002112C5"/>
    <w:pPr>
      <w:tabs>
        <w:tab w:val="num" w:pos="360"/>
        <w:tab w:val="left" w:pos="504"/>
      </w:tabs>
      <w:spacing w:after="240"/>
      <w:ind w:left="360" w:hanging="360"/>
    </w:pPr>
  </w:style>
  <w:style w:type="character" w:styleId="Strong">
    <w:name w:val="Strong"/>
    <w:basedOn w:val="DefaultParagraphFont"/>
    <w:qFormat/>
    <w:rsid w:val="002112C5"/>
    <w:rPr>
      <w:b/>
      <w:bCs/>
    </w:rPr>
  </w:style>
  <w:style w:type="character" w:styleId="Emphasis">
    <w:name w:val="Emphasis"/>
    <w:basedOn w:val="DefaultParagraphFont"/>
    <w:qFormat/>
    <w:rsid w:val="002112C5"/>
    <w:rPr>
      <w:i/>
      <w:iCs/>
    </w:rPr>
  </w:style>
  <w:style w:type="paragraph" w:customStyle="1" w:styleId="Outlinelevel5">
    <w:name w:val="Outline level 5"/>
    <w:basedOn w:val="BodyText"/>
    <w:rsid w:val="002112C5"/>
    <w:pPr>
      <w:tabs>
        <w:tab w:val="num" w:pos="1980"/>
        <w:tab w:val="left" w:pos="2592"/>
      </w:tabs>
      <w:spacing w:after="240"/>
      <w:ind w:left="1980" w:hanging="360"/>
    </w:pPr>
  </w:style>
  <w:style w:type="paragraph" w:customStyle="1" w:styleId="Outline1Char">
    <w:name w:val="Outline 1 Char"/>
    <w:basedOn w:val="BodyText"/>
    <w:rsid w:val="002112C5"/>
    <w:pPr>
      <w:tabs>
        <w:tab w:val="left" w:pos="504"/>
      </w:tabs>
      <w:spacing w:after="240"/>
      <w:ind w:left="720" w:hanging="360"/>
    </w:pPr>
  </w:style>
  <w:style w:type="paragraph" w:customStyle="1" w:styleId="Outline10">
    <w:name w:val="Outline (1)"/>
    <w:basedOn w:val="BodyText"/>
    <w:rsid w:val="002112C5"/>
    <w:pPr>
      <w:tabs>
        <w:tab w:val="num" w:pos="1152"/>
        <w:tab w:val="left" w:pos="1584"/>
      </w:tabs>
      <w:spacing w:after="240"/>
      <w:ind w:left="1152" w:hanging="432"/>
    </w:pPr>
  </w:style>
  <w:style w:type="paragraph" w:customStyle="1" w:styleId="Outlinea0">
    <w:name w:val="Outline (a)"/>
    <w:basedOn w:val="BodyText"/>
    <w:rsid w:val="002112C5"/>
    <w:pPr>
      <w:tabs>
        <w:tab w:val="num" w:pos="1584"/>
        <w:tab w:val="left" w:pos="2160"/>
      </w:tabs>
      <w:spacing w:after="240"/>
      <w:ind w:left="1584" w:hanging="432"/>
    </w:pPr>
  </w:style>
  <w:style w:type="paragraph" w:customStyle="1" w:styleId="Outlinelevel6">
    <w:name w:val="Outline level 6"/>
    <w:basedOn w:val="BodyText"/>
    <w:rsid w:val="002112C5"/>
    <w:pPr>
      <w:tabs>
        <w:tab w:val="num" w:pos="2304"/>
        <w:tab w:val="left" w:pos="3024"/>
      </w:tabs>
      <w:spacing w:after="240"/>
      <w:ind w:left="2304" w:hanging="360"/>
    </w:pPr>
  </w:style>
  <w:style w:type="paragraph" w:customStyle="1" w:styleId="ColorfulList-Accent11">
    <w:name w:val="Colorful List - Accent 11"/>
    <w:basedOn w:val="Normal"/>
    <w:qFormat/>
    <w:rsid w:val="002112C5"/>
    <w:pPr>
      <w:ind w:left="720"/>
    </w:pPr>
  </w:style>
  <w:style w:type="character" w:customStyle="1" w:styleId="Heading9Char">
    <w:name w:val="Heading 9 Char"/>
    <w:basedOn w:val="DefaultParagraphFont"/>
    <w:rsid w:val="002112C5"/>
    <w:rPr>
      <w:sz w:val="24"/>
    </w:rPr>
  </w:style>
  <w:style w:type="character" w:customStyle="1" w:styleId="HeaderChar">
    <w:name w:val="Header Char"/>
    <w:basedOn w:val="DefaultParagraphFont"/>
    <w:semiHidden/>
    <w:rsid w:val="002112C5"/>
  </w:style>
  <w:style w:type="character" w:customStyle="1" w:styleId="SubtleReference1">
    <w:name w:val="Subtle Reference1"/>
    <w:basedOn w:val="DefaultParagraphFont"/>
    <w:qFormat/>
    <w:rsid w:val="002112C5"/>
    <w:rPr>
      <w:smallCaps/>
      <w:color w:val="C0504D"/>
      <w:u w:val="single"/>
    </w:rPr>
  </w:style>
  <w:style w:type="character" w:customStyle="1" w:styleId="FootnoteTextChar">
    <w:name w:val="Footnote Text Char"/>
    <w:basedOn w:val="DefaultParagraphFont"/>
    <w:semiHidden/>
    <w:rsid w:val="002112C5"/>
  </w:style>
  <w:style w:type="character" w:customStyle="1" w:styleId="OutlineaChar">
    <w:name w:val="Outline a Char"/>
    <w:basedOn w:val="DefaultParagraphFont"/>
    <w:rsid w:val="002112C5"/>
    <w:rPr>
      <w:sz w:val="24"/>
    </w:rPr>
  </w:style>
  <w:style w:type="paragraph" w:styleId="ListParagraph">
    <w:name w:val="List Paragraph"/>
    <w:basedOn w:val="Normal"/>
    <w:uiPriority w:val="34"/>
    <w:qFormat/>
    <w:rsid w:val="00F63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rrington@jtafla.com" TargetMode="External"/><Relationship Id="rId18" Type="http://schemas.openxmlformats.org/officeDocument/2006/relationships/hyperlink" Target="mailto:khalique.davis@thedmpgroup.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jwalker@fcgov.com" TargetMode="External"/><Relationship Id="rId17" Type="http://schemas.openxmlformats.org/officeDocument/2006/relationships/hyperlink" Target="mailto:donald.lucas@thedmpgroup.com" TargetMode="External"/><Relationship Id="rId2" Type="http://schemas.openxmlformats.org/officeDocument/2006/relationships/styles" Target="styles.xml"/><Relationship Id="rId16" Type="http://schemas.openxmlformats.org/officeDocument/2006/relationships/hyperlink" Target="mailto:johnpotts@thedmpgroup.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laylock@jtafl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becca.tanrath@dot.gov"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clem@jtafla.co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8493</Words>
  <Characters>48411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56791</CharactersWithSpaces>
  <SharedDoc>false</SharedDoc>
  <HLinks>
    <vt:vector size="48" baseType="variant">
      <vt:variant>
        <vt:i4>2621532</vt:i4>
      </vt:variant>
      <vt:variant>
        <vt:i4>81</vt:i4>
      </vt:variant>
      <vt:variant>
        <vt:i4>0</vt:i4>
      </vt:variant>
      <vt:variant>
        <vt:i4>5</vt:i4>
      </vt:variant>
      <vt:variant>
        <vt:lpwstr>mailto:khalique.davis@thedmpgroup.com</vt:lpwstr>
      </vt:variant>
      <vt:variant>
        <vt:lpwstr/>
      </vt:variant>
      <vt:variant>
        <vt:i4>4456507</vt:i4>
      </vt:variant>
      <vt:variant>
        <vt:i4>78</vt:i4>
      </vt:variant>
      <vt:variant>
        <vt:i4>0</vt:i4>
      </vt:variant>
      <vt:variant>
        <vt:i4>5</vt:i4>
      </vt:variant>
      <vt:variant>
        <vt:lpwstr>mailto:donald.lucas@thedmpgroup.com</vt:lpwstr>
      </vt:variant>
      <vt:variant>
        <vt:lpwstr/>
      </vt:variant>
      <vt:variant>
        <vt:i4>1900586</vt:i4>
      </vt:variant>
      <vt:variant>
        <vt:i4>75</vt:i4>
      </vt:variant>
      <vt:variant>
        <vt:i4>0</vt:i4>
      </vt:variant>
      <vt:variant>
        <vt:i4>5</vt:i4>
      </vt:variant>
      <vt:variant>
        <vt:lpwstr>mailto:johnpotts@thedmpgroup.com</vt:lpwstr>
      </vt:variant>
      <vt:variant>
        <vt:lpwstr/>
      </vt:variant>
      <vt:variant>
        <vt:i4>6422542</vt:i4>
      </vt:variant>
      <vt:variant>
        <vt:i4>72</vt:i4>
      </vt:variant>
      <vt:variant>
        <vt:i4>0</vt:i4>
      </vt:variant>
      <vt:variant>
        <vt:i4>5</vt:i4>
      </vt:variant>
      <vt:variant>
        <vt:lpwstr>mailto:rebecca.tanrath@dot.gov</vt:lpwstr>
      </vt:variant>
      <vt:variant>
        <vt:lpwstr/>
      </vt:variant>
      <vt:variant>
        <vt:i4>3538972</vt:i4>
      </vt:variant>
      <vt:variant>
        <vt:i4>69</vt:i4>
      </vt:variant>
      <vt:variant>
        <vt:i4>0</vt:i4>
      </vt:variant>
      <vt:variant>
        <vt:i4>5</vt:i4>
      </vt:variant>
      <vt:variant>
        <vt:lpwstr>mailto:Sclem@jtafla.com</vt:lpwstr>
      </vt:variant>
      <vt:variant>
        <vt:lpwstr/>
      </vt:variant>
      <vt:variant>
        <vt:i4>4128779</vt:i4>
      </vt:variant>
      <vt:variant>
        <vt:i4>66</vt:i4>
      </vt:variant>
      <vt:variant>
        <vt:i4>0</vt:i4>
      </vt:variant>
      <vt:variant>
        <vt:i4>5</vt:i4>
      </vt:variant>
      <vt:variant>
        <vt:lpwstr>mailto:Sarrington@jtafla.com</vt:lpwstr>
      </vt:variant>
      <vt:variant>
        <vt:lpwstr/>
      </vt:variant>
      <vt:variant>
        <vt:i4>589881</vt:i4>
      </vt:variant>
      <vt:variant>
        <vt:i4>63</vt:i4>
      </vt:variant>
      <vt:variant>
        <vt:i4>0</vt:i4>
      </vt:variant>
      <vt:variant>
        <vt:i4>5</vt:i4>
      </vt:variant>
      <vt:variant>
        <vt:lpwstr>mailto:jwalker@fcgov.com</vt:lpwstr>
      </vt:variant>
      <vt:variant>
        <vt:lpwstr/>
      </vt:variant>
      <vt:variant>
        <vt:i4>3670038</vt:i4>
      </vt:variant>
      <vt:variant>
        <vt:i4>60</vt:i4>
      </vt:variant>
      <vt:variant>
        <vt:i4>0</vt:i4>
      </vt:variant>
      <vt:variant>
        <vt:i4>5</vt:i4>
      </vt:variant>
      <vt:variant>
        <vt:lpwstr>mailto:Mblaylock@jtafla.com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kimberly.goins</cp:lastModifiedBy>
  <cp:revision>17</cp:revision>
  <cp:lastPrinted>2010-08-17T17:09:00Z</cp:lastPrinted>
  <dcterms:created xsi:type="dcterms:W3CDTF">2010-02-22T02:03:00Z</dcterms:created>
  <dcterms:modified xsi:type="dcterms:W3CDTF">2010-08-17T17:09:00Z</dcterms:modified>
</cp:coreProperties>
</file>