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80" w:rsidRPr="00DB6FFF" w:rsidRDefault="00703314" w:rsidP="000C4C56">
      <w:pPr>
        <w:pStyle w:val="Title"/>
        <w:spacing w:after="3480" w:line="276" w:lineRule="auto"/>
        <w:jc w:val="center"/>
        <w:rPr>
          <w:rFonts w:ascii="Calibri" w:hAnsi="Calibri" w:cs="Calibri"/>
          <w:sz w:val="48"/>
        </w:rPr>
      </w:pPr>
      <w:bookmarkStart w:id="0" w:name="_GoBack"/>
      <w:bookmarkEnd w:id="0"/>
      <w:r w:rsidRPr="00DB6FFF">
        <w:rPr>
          <w:rFonts w:ascii="Calibri" w:hAnsi="Calibri" w:cs="Calibri"/>
          <w:sz w:val="48"/>
        </w:rPr>
        <w:t>T</w:t>
      </w:r>
      <w:r w:rsidR="001C64B8" w:rsidRPr="00DB6FFF">
        <w:rPr>
          <w:rFonts w:ascii="Calibri" w:hAnsi="Calibri" w:cs="Calibri"/>
          <w:sz w:val="48"/>
        </w:rPr>
        <w:t xml:space="preserve">ransit </w:t>
      </w:r>
      <w:r w:rsidRPr="00DB6FFF">
        <w:rPr>
          <w:rFonts w:ascii="Calibri" w:hAnsi="Calibri" w:cs="Calibri"/>
          <w:sz w:val="48"/>
        </w:rPr>
        <w:t>R</w:t>
      </w:r>
      <w:r w:rsidR="001C64B8" w:rsidRPr="00DB6FFF">
        <w:rPr>
          <w:rFonts w:ascii="Calibri" w:hAnsi="Calibri" w:cs="Calibri"/>
          <w:sz w:val="48"/>
        </w:rPr>
        <w:t xml:space="preserve">ail </w:t>
      </w:r>
      <w:r w:rsidRPr="00DB6FFF">
        <w:rPr>
          <w:rFonts w:ascii="Calibri" w:hAnsi="Calibri" w:cs="Calibri"/>
          <w:sz w:val="48"/>
        </w:rPr>
        <w:t>A</w:t>
      </w:r>
      <w:r w:rsidR="001C64B8" w:rsidRPr="00DB6FFF">
        <w:rPr>
          <w:rFonts w:ascii="Calibri" w:hAnsi="Calibri" w:cs="Calibri"/>
          <w:sz w:val="48"/>
        </w:rPr>
        <w:t xml:space="preserve">dvisory </w:t>
      </w:r>
      <w:r w:rsidRPr="00DB6FFF">
        <w:rPr>
          <w:rFonts w:ascii="Calibri" w:hAnsi="Calibri" w:cs="Calibri"/>
          <w:sz w:val="48"/>
        </w:rPr>
        <w:t>C</w:t>
      </w:r>
      <w:r w:rsidR="001C64B8" w:rsidRPr="00DB6FFF">
        <w:rPr>
          <w:rFonts w:ascii="Calibri" w:hAnsi="Calibri" w:cs="Calibri"/>
          <w:sz w:val="48"/>
        </w:rPr>
        <w:t xml:space="preserve">ommittee for </w:t>
      </w:r>
      <w:r w:rsidRPr="00DB6FFF">
        <w:rPr>
          <w:rFonts w:ascii="Calibri" w:hAnsi="Calibri" w:cs="Calibri"/>
          <w:sz w:val="48"/>
        </w:rPr>
        <w:t>S</w:t>
      </w:r>
      <w:r w:rsidR="000C4C56" w:rsidRPr="00DB6FFF">
        <w:rPr>
          <w:rFonts w:ascii="Calibri" w:hAnsi="Calibri" w:cs="Calibri"/>
          <w:sz w:val="48"/>
        </w:rPr>
        <w:t xml:space="preserve">afety </w:t>
      </w:r>
      <w:r w:rsidR="001C64B8" w:rsidRPr="00DB6FFF">
        <w:rPr>
          <w:rFonts w:ascii="Calibri" w:hAnsi="Calibri" w:cs="Calibri"/>
          <w:sz w:val="48"/>
        </w:rPr>
        <w:t>(TRACS)</w:t>
      </w:r>
      <w:r w:rsidR="000C4C56" w:rsidRPr="00DB6FFF">
        <w:rPr>
          <w:rFonts w:ascii="Calibri" w:hAnsi="Calibri" w:cs="Calibri"/>
          <w:sz w:val="48"/>
        </w:rPr>
        <w:t xml:space="preserve"> </w:t>
      </w:r>
      <w:r w:rsidR="00005056" w:rsidRPr="00DB6FFF">
        <w:rPr>
          <w:rFonts w:ascii="Calibri" w:hAnsi="Calibri" w:cs="Calibri"/>
          <w:sz w:val="48"/>
        </w:rPr>
        <w:t>Working Group 11-01</w:t>
      </w:r>
      <w:r w:rsidR="000C4C56" w:rsidRPr="00DB6FFF">
        <w:rPr>
          <w:rFonts w:ascii="Calibri" w:hAnsi="Calibri" w:cs="Calibri"/>
          <w:sz w:val="48"/>
        </w:rPr>
        <w:t xml:space="preserve"> Report</w:t>
      </w:r>
    </w:p>
    <w:p w:rsidR="00F90480" w:rsidRPr="00DB6FFF" w:rsidRDefault="002A7759">
      <w:pPr>
        <w:pStyle w:val="Subtitle"/>
        <w:spacing w:after="600" w:line="360" w:lineRule="auto"/>
        <w:jc w:val="center"/>
        <w:rPr>
          <w:rFonts w:ascii="Calibri" w:hAnsi="Calibri" w:cs="Calibri"/>
          <w:sz w:val="36"/>
        </w:rPr>
      </w:pPr>
      <w:r>
        <w:rPr>
          <w:rFonts w:ascii="Calibri" w:hAnsi="Calibri" w:cs="Calibri"/>
          <w:sz w:val="36"/>
        </w:rPr>
        <w:t xml:space="preserve">Establishing a </w:t>
      </w:r>
      <w:r w:rsidR="00CF6B42" w:rsidRPr="00DB6FFF">
        <w:rPr>
          <w:rFonts w:ascii="Calibri" w:hAnsi="Calibri" w:cs="Calibri"/>
          <w:sz w:val="36"/>
        </w:rPr>
        <w:t xml:space="preserve">Confidential, </w:t>
      </w:r>
      <w:r w:rsidR="008719C1" w:rsidRPr="00DB6FFF">
        <w:rPr>
          <w:rFonts w:ascii="Calibri" w:hAnsi="Calibri" w:cs="Calibri"/>
          <w:sz w:val="36"/>
        </w:rPr>
        <w:t>Non-Punitive</w:t>
      </w:r>
      <w:r w:rsidR="00F41B44">
        <w:rPr>
          <w:rFonts w:ascii="Calibri" w:hAnsi="Calibri" w:cs="Calibri"/>
          <w:sz w:val="36"/>
        </w:rPr>
        <w:t>, Close</w:t>
      </w:r>
      <w:r w:rsidR="008C7307">
        <w:rPr>
          <w:rFonts w:ascii="Calibri" w:hAnsi="Calibri" w:cs="Calibri"/>
          <w:sz w:val="36"/>
        </w:rPr>
        <w:t xml:space="preserve"> </w:t>
      </w:r>
      <w:r w:rsidR="00F41B44">
        <w:rPr>
          <w:rFonts w:ascii="Calibri" w:hAnsi="Calibri" w:cs="Calibri"/>
          <w:sz w:val="36"/>
        </w:rPr>
        <w:t xml:space="preserve">Call </w:t>
      </w:r>
      <w:r w:rsidR="00A43D6A">
        <w:rPr>
          <w:rFonts w:ascii="Calibri" w:hAnsi="Calibri" w:cs="Calibri"/>
          <w:sz w:val="36"/>
        </w:rPr>
        <w:t xml:space="preserve">Safety </w:t>
      </w:r>
      <w:r w:rsidR="00F41B44">
        <w:rPr>
          <w:rFonts w:ascii="Calibri" w:hAnsi="Calibri" w:cs="Calibri"/>
          <w:sz w:val="36"/>
        </w:rPr>
        <w:t>R</w:t>
      </w:r>
      <w:r w:rsidR="005B1383">
        <w:rPr>
          <w:rFonts w:ascii="Calibri" w:hAnsi="Calibri" w:cs="Calibri"/>
          <w:sz w:val="36"/>
        </w:rPr>
        <w:t>eporting</w:t>
      </w:r>
      <w:r w:rsidR="00F90480" w:rsidRPr="00DB6FFF">
        <w:rPr>
          <w:rFonts w:ascii="Calibri" w:hAnsi="Calibri" w:cs="Calibri"/>
          <w:sz w:val="36"/>
        </w:rPr>
        <w:t xml:space="preserve"> System</w:t>
      </w:r>
      <w:r>
        <w:rPr>
          <w:rFonts w:ascii="Calibri" w:hAnsi="Calibri" w:cs="Calibri"/>
          <w:sz w:val="36"/>
        </w:rPr>
        <w:t xml:space="preserve"> for the Rail Transit Industry</w:t>
      </w:r>
      <w:r w:rsidR="008719C1" w:rsidRPr="00DB6FFF">
        <w:rPr>
          <w:rFonts w:ascii="Calibri" w:hAnsi="Calibri" w:cs="Calibri"/>
          <w:sz w:val="36"/>
        </w:rPr>
        <w:t xml:space="preserve"> </w:t>
      </w:r>
    </w:p>
    <w:p w:rsidR="00F90480" w:rsidRPr="00DB6FFF" w:rsidRDefault="003F416E" w:rsidP="00F90480">
      <w:pPr>
        <w:jc w:val="center"/>
        <w:rPr>
          <w:rFonts w:cs="Calibri"/>
        </w:rPr>
      </w:pPr>
      <w:r>
        <w:rPr>
          <w:rFonts w:cs="Calibri"/>
          <w:i/>
          <w:iCs/>
          <w:color w:val="4F81BD"/>
          <w:spacing w:val="15"/>
          <w:sz w:val="24"/>
          <w:szCs w:val="24"/>
        </w:rPr>
        <w:t>0</w:t>
      </w:r>
      <w:r w:rsidR="00CC096A">
        <w:rPr>
          <w:rFonts w:cs="Calibri"/>
          <w:i/>
          <w:iCs/>
          <w:color w:val="4F81BD"/>
          <w:spacing w:val="15"/>
          <w:sz w:val="24"/>
          <w:szCs w:val="24"/>
        </w:rPr>
        <w:t>7</w:t>
      </w:r>
      <w:r w:rsidR="00E8734B">
        <w:rPr>
          <w:rFonts w:cs="Calibri"/>
          <w:i/>
          <w:iCs/>
          <w:color w:val="4F81BD"/>
          <w:spacing w:val="15"/>
          <w:sz w:val="24"/>
          <w:szCs w:val="24"/>
        </w:rPr>
        <w:t>/</w:t>
      </w:r>
      <w:r w:rsidR="00CC096A">
        <w:rPr>
          <w:rFonts w:cs="Calibri"/>
          <w:i/>
          <w:iCs/>
          <w:color w:val="4F81BD"/>
          <w:spacing w:val="15"/>
          <w:sz w:val="24"/>
          <w:szCs w:val="24"/>
        </w:rPr>
        <w:t>1</w:t>
      </w:r>
      <w:r w:rsidR="00C66452">
        <w:rPr>
          <w:rFonts w:cs="Calibri"/>
          <w:i/>
          <w:iCs/>
          <w:color w:val="4F81BD"/>
          <w:spacing w:val="15"/>
          <w:sz w:val="24"/>
          <w:szCs w:val="24"/>
        </w:rPr>
        <w:t>6</w:t>
      </w:r>
      <w:r w:rsidR="00E8734B">
        <w:rPr>
          <w:rFonts w:cs="Calibri"/>
          <w:i/>
          <w:iCs/>
          <w:color w:val="4F81BD"/>
          <w:spacing w:val="15"/>
          <w:sz w:val="24"/>
          <w:szCs w:val="24"/>
        </w:rPr>
        <w:t>/12</w:t>
      </w:r>
    </w:p>
    <w:p w:rsidR="009F7176" w:rsidRPr="00DB6FFF" w:rsidRDefault="009F7176">
      <w:pPr>
        <w:rPr>
          <w:rFonts w:cs="Calibri"/>
        </w:rPr>
      </w:pPr>
    </w:p>
    <w:p w:rsidR="00FC5560" w:rsidRDefault="00FC5560">
      <w:pPr>
        <w:spacing w:after="0" w:line="240" w:lineRule="auto"/>
        <w:rPr>
          <w:rFonts w:cs="Calibri"/>
        </w:rPr>
      </w:pPr>
      <w:r>
        <w:rPr>
          <w:rFonts w:cs="Calibri"/>
        </w:rPr>
        <w:br w:type="page"/>
      </w:r>
    </w:p>
    <w:p w:rsidR="006F583A" w:rsidRPr="00651F58" w:rsidRDefault="00C64900" w:rsidP="00651F58">
      <w:pPr>
        <w:pStyle w:val="Heading3"/>
        <w:rPr>
          <w:rFonts w:ascii="Calibri" w:hAnsi="Calibri" w:cs="Calibri"/>
          <w:sz w:val="28"/>
          <w:szCs w:val="28"/>
        </w:rPr>
      </w:pPr>
      <w:bookmarkStart w:id="1" w:name="_Toc302130247"/>
      <w:bookmarkStart w:id="2" w:name="_Toc306952889"/>
      <w:bookmarkStart w:id="3" w:name="_Toc306953415"/>
      <w:bookmarkStart w:id="4" w:name="_Toc306953494"/>
      <w:bookmarkStart w:id="5" w:name="_Toc306954135"/>
      <w:bookmarkStart w:id="6" w:name="_Toc306954652"/>
      <w:bookmarkStart w:id="7" w:name="_Toc306955226"/>
      <w:bookmarkStart w:id="8" w:name="_Toc306961717"/>
      <w:bookmarkStart w:id="9" w:name="_Toc306968946"/>
      <w:bookmarkStart w:id="10" w:name="_Toc306969040"/>
      <w:bookmarkStart w:id="11" w:name="_Toc306969364"/>
      <w:bookmarkStart w:id="12" w:name="_Toc306969443"/>
      <w:bookmarkStart w:id="13" w:name="_Toc306972545"/>
      <w:bookmarkStart w:id="14" w:name="_Toc307991431"/>
      <w:bookmarkStart w:id="15" w:name="_Toc309663939"/>
      <w:bookmarkStart w:id="16" w:name="_Toc310342544"/>
      <w:bookmarkStart w:id="17" w:name="_Toc310342754"/>
      <w:bookmarkStart w:id="18" w:name="_Toc316336496"/>
      <w:bookmarkStart w:id="19" w:name="_Toc317097299"/>
      <w:bookmarkStart w:id="20" w:name="_Toc317106141"/>
      <w:r w:rsidRPr="00651F58">
        <w:rPr>
          <w:rFonts w:ascii="Calibri" w:hAnsi="Calibri" w:cs="Calibri"/>
          <w:sz w:val="28"/>
          <w:szCs w:val="28"/>
        </w:rPr>
        <w:lastRenderedPageBreak/>
        <w:t>Table of Content</w:t>
      </w:r>
      <w:bookmarkEnd w:id="1"/>
      <w:bookmarkEnd w:id="2"/>
      <w:bookmarkEnd w:id="3"/>
      <w:r w:rsidR="00FB1266" w:rsidRPr="00651F58">
        <w:rPr>
          <w:rFonts w:ascii="Calibri" w:hAnsi="Calibri" w:cs="Calibri"/>
          <w:sz w:val="28"/>
          <w:szCs w:val="28"/>
        </w:rPr>
        <w: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28684D" w:rsidRPr="0028684D" w:rsidRDefault="001E6003" w:rsidP="0028684D">
      <w:pPr>
        <w:pStyle w:val="TOC3"/>
        <w:tabs>
          <w:tab w:val="right" w:leader="dot" w:pos="9350"/>
        </w:tabs>
        <w:ind w:left="0"/>
        <w:rPr>
          <w:b/>
          <w:noProof/>
        </w:rPr>
      </w:pPr>
      <w:r w:rsidRPr="00DB6FFF">
        <w:rPr>
          <w:rFonts w:cs="Calibri"/>
        </w:rPr>
        <w:fldChar w:fldCharType="begin"/>
      </w:r>
      <w:r w:rsidR="0056081A" w:rsidRPr="00DB6FFF">
        <w:rPr>
          <w:rFonts w:cs="Calibri"/>
        </w:rPr>
        <w:instrText xml:space="preserve"> TOC \o "1-3" \h \z \u </w:instrText>
      </w:r>
      <w:r w:rsidRPr="00DB6FFF">
        <w:rPr>
          <w:rFonts w:cs="Calibri"/>
        </w:rPr>
        <w:fldChar w:fldCharType="separate"/>
      </w:r>
      <w:hyperlink w:anchor="_Toc317106142" w:history="1">
        <w:r w:rsidR="0028684D" w:rsidRPr="0028684D">
          <w:rPr>
            <w:rStyle w:val="Hyperlink"/>
            <w:rFonts w:cs="Calibri"/>
            <w:b/>
            <w:noProof/>
          </w:rPr>
          <w:t>FTA Administrator’s Tasking to TRACS Working Group 11-01</w:t>
        </w:r>
        <w:r w:rsidR="0028684D" w:rsidRPr="0028684D">
          <w:rPr>
            <w:b/>
            <w:noProof/>
            <w:webHidden/>
          </w:rPr>
          <w:tab/>
        </w:r>
        <w:r w:rsidRPr="0028684D">
          <w:rPr>
            <w:b/>
            <w:noProof/>
            <w:webHidden/>
          </w:rPr>
          <w:fldChar w:fldCharType="begin"/>
        </w:r>
        <w:r w:rsidR="0028684D" w:rsidRPr="0028684D">
          <w:rPr>
            <w:b/>
            <w:noProof/>
            <w:webHidden/>
          </w:rPr>
          <w:instrText xml:space="preserve"> PAGEREF _Toc317106142 \h </w:instrText>
        </w:r>
        <w:r w:rsidRPr="0028684D">
          <w:rPr>
            <w:b/>
            <w:noProof/>
            <w:webHidden/>
          </w:rPr>
        </w:r>
        <w:r w:rsidRPr="0028684D">
          <w:rPr>
            <w:b/>
            <w:noProof/>
            <w:webHidden/>
          </w:rPr>
          <w:fldChar w:fldCharType="separate"/>
        </w:r>
        <w:r w:rsidR="00FC5560">
          <w:rPr>
            <w:b/>
            <w:noProof/>
            <w:webHidden/>
          </w:rPr>
          <w:t>1</w:t>
        </w:r>
        <w:r w:rsidRPr="0028684D">
          <w:rPr>
            <w:b/>
            <w:noProof/>
            <w:webHidden/>
          </w:rPr>
          <w:fldChar w:fldCharType="end"/>
        </w:r>
      </w:hyperlink>
    </w:p>
    <w:p w:rsidR="0028684D" w:rsidRDefault="000F6831" w:rsidP="002E63B4">
      <w:pPr>
        <w:pStyle w:val="TOC1"/>
      </w:pPr>
      <w:hyperlink w:anchor="_Toc317106143" w:history="1">
        <w:r w:rsidR="0028684D" w:rsidRPr="00964B14">
          <w:rPr>
            <w:rStyle w:val="Hyperlink"/>
            <w:rFonts w:cs="Calibri"/>
          </w:rPr>
          <w:t>Introduction</w:t>
        </w:r>
        <w:r w:rsidR="0028684D">
          <w:rPr>
            <w:webHidden/>
          </w:rPr>
          <w:tab/>
        </w:r>
        <w:r w:rsidR="001E6003">
          <w:rPr>
            <w:webHidden/>
          </w:rPr>
          <w:fldChar w:fldCharType="begin"/>
        </w:r>
        <w:r w:rsidR="0028684D">
          <w:rPr>
            <w:webHidden/>
          </w:rPr>
          <w:instrText xml:space="preserve"> PAGEREF _Toc317106143 \h </w:instrText>
        </w:r>
        <w:r w:rsidR="001E6003">
          <w:rPr>
            <w:webHidden/>
          </w:rPr>
        </w:r>
        <w:r w:rsidR="001E6003">
          <w:rPr>
            <w:webHidden/>
          </w:rPr>
          <w:fldChar w:fldCharType="separate"/>
        </w:r>
        <w:r w:rsidR="00FC5560">
          <w:rPr>
            <w:webHidden/>
          </w:rPr>
          <w:t>2</w:t>
        </w:r>
        <w:r w:rsidR="001E6003">
          <w:rPr>
            <w:webHidden/>
          </w:rPr>
          <w:fldChar w:fldCharType="end"/>
        </w:r>
      </w:hyperlink>
    </w:p>
    <w:p w:rsidR="0028684D" w:rsidRDefault="000F6831" w:rsidP="002E63B4">
      <w:pPr>
        <w:pStyle w:val="TOC1"/>
      </w:pPr>
      <w:hyperlink w:anchor="_Toc317106144" w:history="1">
        <w:r w:rsidR="0028684D" w:rsidRPr="00964B14">
          <w:rPr>
            <w:rStyle w:val="Hyperlink"/>
            <w:rFonts w:cs="Calibri"/>
          </w:rPr>
          <w:t>Principles and Characteristics of a Close</w:t>
        </w:r>
        <w:r w:rsidR="00B74CE8">
          <w:rPr>
            <w:rStyle w:val="Hyperlink"/>
            <w:rFonts w:cs="Calibri"/>
          </w:rPr>
          <w:t xml:space="preserve"> </w:t>
        </w:r>
        <w:r w:rsidR="0028684D" w:rsidRPr="00964B14">
          <w:rPr>
            <w:rStyle w:val="Hyperlink"/>
            <w:rFonts w:cs="Calibri"/>
          </w:rPr>
          <w:t>Call</w:t>
        </w:r>
        <w:r w:rsidR="0036295E">
          <w:rPr>
            <w:rStyle w:val="Hyperlink"/>
            <w:rFonts w:cs="Calibri"/>
          </w:rPr>
          <w:t xml:space="preserve"> </w:t>
        </w:r>
        <w:r w:rsidR="00A43D6A">
          <w:rPr>
            <w:rStyle w:val="Hyperlink"/>
            <w:rFonts w:cs="Calibri"/>
          </w:rPr>
          <w:t xml:space="preserve">Safety </w:t>
        </w:r>
        <w:r w:rsidR="0028684D" w:rsidRPr="00964B14">
          <w:rPr>
            <w:rStyle w:val="Hyperlink"/>
            <w:rFonts w:cs="Calibri"/>
          </w:rPr>
          <w:t>Reporting System</w:t>
        </w:r>
        <w:r w:rsidR="0028684D">
          <w:rPr>
            <w:webHidden/>
          </w:rPr>
          <w:tab/>
        </w:r>
        <w:r w:rsidR="000D6633">
          <w:rPr>
            <w:webHidden/>
          </w:rPr>
          <w:t>5</w:t>
        </w:r>
      </w:hyperlink>
    </w:p>
    <w:p w:rsidR="0028684D" w:rsidRDefault="000F6831">
      <w:pPr>
        <w:pStyle w:val="TOC2"/>
        <w:tabs>
          <w:tab w:val="right" w:leader="dot" w:pos="9350"/>
        </w:tabs>
        <w:rPr>
          <w:noProof/>
        </w:rPr>
      </w:pPr>
      <w:hyperlink w:anchor="_Toc317106145" w:history="1">
        <w:r w:rsidR="0028684D" w:rsidRPr="00964B14">
          <w:rPr>
            <w:rStyle w:val="Hyperlink"/>
            <w:rFonts w:cs="Calibri"/>
            <w:noProof/>
          </w:rPr>
          <w:t>Elements of Existing Systems</w:t>
        </w:r>
        <w:r w:rsidR="0028684D">
          <w:rPr>
            <w:noProof/>
            <w:webHidden/>
          </w:rPr>
          <w:tab/>
        </w:r>
        <w:r w:rsidR="000D6633">
          <w:rPr>
            <w:noProof/>
            <w:webHidden/>
          </w:rPr>
          <w:t>5</w:t>
        </w:r>
      </w:hyperlink>
    </w:p>
    <w:p w:rsidR="0028684D" w:rsidRDefault="000F6831">
      <w:pPr>
        <w:pStyle w:val="TOC3"/>
        <w:tabs>
          <w:tab w:val="right" w:leader="dot" w:pos="9350"/>
        </w:tabs>
        <w:rPr>
          <w:noProof/>
        </w:rPr>
      </w:pPr>
      <w:hyperlink w:anchor="_Toc317106146" w:history="1">
        <w:r w:rsidR="0028684D" w:rsidRPr="00964B14">
          <w:rPr>
            <w:rStyle w:val="Hyperlink"/>
            <w:rFonts w:cs="Calibri"/>
            <w:noProof/>
          </w:rPr>
          <w:t>Application to the Rail Transit Industry</w:t>
        </w:r>
        <w:r w:rsidR="0028684D">
          <w:rPr>
            <w:noProof/>
            <w:webHidden/>
          </w:rPr>
          <w:tab/>
        </w:r>
        <w:r w:rsidR="000D6633">
          <w:rPr>
            <w:noProof/>
            <w:webHidden/>
          </w:rPr>
          <w:t>9</w:t>
        </w:r>
      </w:hyperlink>
    </w:p>
    <w:p w:rsidR="0028684D" w:rsidRPr="002E63B4" w:rsidRDefault="000F6831" w:rsidP="002E63B4">
      <w:pPr>
        <w:pStyle w:val="TOC2"/>
        <w:tabs>
          <w:tab w:val="right" w:leader="dot" w:pos="9350"/>
        </w:tabs>
        <w:ind w:left="0"/>
        <w:rPr>
          <w:b/>
          <w:noProof/>
        </w:rPr>
      </w:pPr>
      <w:hyperlink w:anchor="_Toc317106147" w:history="1">
        <w:r w:rsidR="0028684D" w:rsidRPr="002E63B4">
          <w:rPr>
            <w:rStyle w:val="Hyperlink"/>
            <w:rFonts w:cs="Calibri"/>
            <w:b/>
            <w:noProof/>
          </w:rPr>
          <w:t>Definition and Concept of Operations</w:t>
        </w:r>
        <w:r w:rsidR="0028684D" w:rsidRPr="002E63B4">
          <w:rPr>
            <w:b/>
            <w:noProof/>
            <w:webHidden/>
          </w:rPr>
          <w:tab/>
        </w:r>
        <w:r w:rsidR="000D6633" w:rsidRPr="002E63B4">
          <w:rPr>
            <w:b/>
            <w:noProof/>
            <w:webHidden/>
          </w:rPr>
          <w:t>11</w:t>
        </w:r>
      </w:hyperlink>
    </w:p>
    <w:p w:rsidR="0028684D" w:rsidRDefault="000F6831">
      <w:pPr>
        <w:pStyle w:val="TOC3"/>
        <w:tabs>
          <w:tab w:val="right" w:leader="dot" w:pos="9350"/>
        </w:tabs>
        <w:rPr>
          <w:noProof/>
        </w:rPr>
      </w:pPr>
      <w:hyperlink w:anchor="_Toc317106148" w:history="1">
        <w:r w:rsidR="0028684D" w:rsidRPr="00964B14">
          <w:rPr>
            <w:rStyle w:val="Hyperlink"/>
            <w:rFonts w:cs="Calibri"/>
            <w:noProof/>
          </w:rPr>
          <w:t xml:space="preserve">Definition of </w:t>
        </w:r>
        <w:r w:rsidR="000D6633">
          <w:rPr>
            <w:rStyle w:val="Hyperlink"/>
            <w:rFonts w:cs="Calibri"/>
            <w:noProof/>
          </w:rPr>
          <w:t>a Close Call</w:t>
        </w:r>
        <w:r w:rsidR="0028684D">
          <w:rPr>
            <w:noProof/>
            <w:webHidden/>
          </w:rPr>
          <w:tab/>
        </w:r>
        <w:r w:rsidR="000D6633">
          <w:rPr>
            <w:noProof/>
            <w:webHidden/>
          </w:rPr>
          <w:t>11</w:t>
        </w:r>
      </w:hyperlink>
    </w:p>
    <w:p w:rsidR="0028684D" w:rsidRDefault="000F6831">
      <w:pPr>
        <w:pStyle w:val="TOC3"/>
        <w:tabs>
          <w:tab w:val="right" w:leader="dot" w:pos="9350"/>
        </w:tabs>
        <w:rPr>
          <w:noProof/>
        </w:rPr>
      </w:pPr>
      <w:hyperlink w:anchor="_Toc317106149" w:history="1">
        <w:r w:rsidR="0028684D" w:rsidRPr="00964B14">
          <w:rPr>
            <w:rStyle w:val="Hyperlink"/>
            <w:rFonts w:cs="Calibri"/>
            <w:noProof/>
          </w:rPr>
          <w:t>Concept of Operations</w:t>
        </w:r>
        <w:r w:rsidR="0028684D">
          <w:rPr>
            <w:noProof/>
            <w:webHidden/>
          </w:rPr>
          <w:tab/>
        </w:r>
        <w:r w:rsidR="000D6633">
          <w:rPr>
            <w:noProof/>
            <w:webHidden/>
          </w:rPr>
          <w:t>11</w:t>
        </w:r>
      </w:hyperlink>
    </w:p>
    <w:p w:rsidR="0028684D" w:rsidRDefault="000F6831">
      <w:pPr>
        <w:pStyle w:val="TOC3"/>
        <w:tabs>
          <w:tab w:val="right" w:leader="dot" w:pos="9350"/>
        </w:tabs>
        <w:rPr>
          <w:noProof/>
        </w:rPr>
      </w:pPr>
      <w:hyperlink w:anchor="_Toc317106150" w:history="1">
        <w:r w:rsidR="0028684D" w:rsidRPr="00964B14">
          <w:rPr>
            <w:rStyle w:val="Hyperlink"/>
            <w:rFonts w:cs="Calibri"/>
            <w:noProof/>
          </w:rPr>
          <w:t>Funding</w:t>
        </w:r>
        <w:r w:rsidR="0028684D">
          <w:rPr>
            <w:noProof/>
            <w:webHidden/>
          </w:rPr>
          <w:tab/>
        </w:r>
        <w:r w:rsidR="001E6003">
          <w:rPr>
            <w:noProof/>
            <w:webHidden/>
          </w:rPr>
          <w:fldChar w:fldCharType="begin"/>
        </w:r>
        <w:r w:rsidR="0028684D">
          <w:rPr>
            <w:noProof/>
            <w:webHidden/>
          </w:rPr>
          <w:instrText xml:space="preserve"> PAGEREF _Toc317106150 \h </w:instrText>
        </w:r>
        <w:r w:rsidR="001E6003">
          <w:rPr>
            <w:noProof/>
            <w:webHidden/>
          </w:rPr>
        </w:r>
        <w:r w:rsidR="001E6003">
          <w:rPr>
            <w:noProof/>
            <w:webHidden/>
          </w:rPr>
          <w:fldChar w:fldCharType="separate"/>
        </w:r>
        <w:r w:rsidR="00FC5560">
          <w:rPr>
            <w:noProof/>
            <w:webHidden/>
          </w:rPr>
          <w:t>14</w:t>
        </w:r>
        <w:r w:rsidR="001E6003">
          <w:rPr>
            <w:noProof/>
            <w:webHidden/>
          </w:rPr>
          <w:fldChar w:fldCharType="end"/>
        </w:r>
      </w:hyperlink>
    </w:p>
    <w:p w:rsidR="0028684D" w:rsidRDefault="000F6831" w:rsidP="002E63B4">
      <w:pPr>
        <w:pStyle w:val="TOC1"/>
      </w:pPr>
      <w:hyperlink w:anchor="_Toc317106151" w:history="1">
        <w:r w:rsidR="0028684D" w:rsidRPr="00964B14">
          <w:rPr>
            <w:rStyle w:val="Hyperlink"/>
            <w:rFonts w:cs="Calibri"/>
          </w:rPr>
          <w:t>Special Considerations for Establishing a Pilot Close</w:t>
        </w:r>
        <w:r w:rsidR="00B74CE8">
          <w:rPr>
            <w:rStyle w:val="Hyperlink"/>
            <w:rFonts w:cs="Calibri"/>
          </w:rPr>
          <w:t xml:space="preserve"> </w:t>
        </w:r>
        <w:r w:rsidR="0028684D" w:rsidRPr="00964B14">
          <w:rPr>
            <w:rStyle w:val="Hyperlink"/>
            <w:rFonts w:cs="Calibri"/>
          </w:rPr>
          <w:t xml:space="preserve">Call </w:t>
        </w:r>
        <w:r w:rsidR="00A43D6A">
          <w:rPr>
            <w:rStyle w:val="Hyperlink"/>
            <w:rFonts w:cs="Calibri"/>
          </w:rPr>
          <w:t xml:space="preserve">Safety </w:t>
        </w:r>
        <w:r w:rsidR="0028684D" w:rsidRPr="00964B14">
          <w:rPr>
            <w:rStyle w:val="Hyperlink"/>
            <w:rFonts w:cs="Calibri"/>
          </w:rPr>
          <w:t>Reporting System for the Rail Transit Industry</w:t>
        </w:r>
        <w:r w:rsidR="0028684D">
          <w:rPr>
            <w:webHidden/>
          </w:rPr>
          <w:tab/>
        </w:r>
        <w:r w:rsidR="001E6003">
          <w:rPr>
            <w:webHidden/>
          </w:rPr>
          <w:fldChar w:fldCharType="begin"/>
        </w:r>
        <w:r w:rsidR="0028684D">
          <w:rPr>
            <w:webHidden/>
          </w:rPr>
          <w:instrText xml:space="preserve"> PAGEREF _Toc317106151 \h </w:instrText>
        </w:r>
        <w:r w:rsidR="001E6003">
          <w:rPr>
            <w:webHidden/>
          </w:rPr>
        </w:r>
        <w:r w:rsidR="001E6003">
          <w:rPr>
            <w:webHidden/>
          </w:rPr>
          <w:fldChar w:fldCharType="separate"/>
        </w:r>
        <w:r w:rsidR="00FC5560">
          <w:rPr>
            <w:webHidden/>
          </w:rPr>
          <w:t>15</w:t>
        </w:r>
        <w:r w:rsidR="001E6003">
          <w:rPr>
            <w:webHidden/>
          </w:rPr>
          <w:fldChar w:fldCharType="end"/>
        </w:r>
      </w:hyperlink>
    </w:p>
    <w:p w:rsidR="0028684D" w:rsidRDefault="000F6831">
      <w:pPr>
        <w:pStyle w:val="TOC2"/>
        <w:tabs>
          <w:tab w:val="right" w:leader="dot" w:pos="9350"/>
        </w:tabs>
        <w:rPr>
          <w:noProof/>
        </w:rPr>
      </w:pPr>
      <w:hyperlink w:anchor="_Toc317106152" w:history="1">
        <w:r w:rsidR="0028684D" w:rsidRPr="00964B14">
          <w:rPr>
            <w:rStyle w:val="Hyperlink"/>
            <w:rFonts w:cs="Calibri"/>
            <w:noProof/>
          </w:rPr>
          <w:t>Confidentiality</w:t>
        </w:r>
        <w:r w:rsidR="0028684D">
          <w:rPr>
            <w:noProof/>
            <w:webHidden/>
          </w:rPr>
          <w:tab/>
        </w:r>
        <w:r w:rsidR="001E6003">
          <w:rPr>
            <w:noProof/>
            <w:webHidden/>
          </w:rPr>
          <w:fldChar w:fldCharType="begin"/>
        </w:r>
        <w:r w:rsidR="0028684D">
          <w:rPr>
            <w:noProof/>
            <w:webHidden/>
          </w:rPr>
          <w:instrText xml:space="preserve"> PAGEREF _Toc317106152 \h </w:instrText>
        </w:r>
        <w:r w:rsidR="001E6003">
          <w:rPr>
            <w:noProof/>
            <w:webHidden/>
          </w:rPr>
        </w:r>
        <w:r w:rsidR="001E6003">
          <w:rPr>
            <w:noProof/>
            <w:webHidden/>
          </w:rPr>
          <w:fldChar w:fldCharType="separate"/>
        </w:r>
        <w:r w:rsidR="00FC5560">
          <w:rPr>
            <w:noProof/>
            <w:webHidden/>
          </w:rPr>
          <w:t>15</w:t>
        </w:r>
        <w:r w:rsidR="001E6003">
          <w:rPr>
            <w:noProof/>
            <w:webHidden/>
          </w:rPr>
          <w:fldChar w:fldCharType="end"/>
        </w:r>
      </w:hyperlink>
    </w:p>
    <w:p w:rsidR="0028684D" w:rsidRDefault="000F6831">
      <w:pPr>
        <w:pStyle w:val="TOC2"/>
        <w:tabs>
          <w:tab w:val="right" w:leader="dot" w:pos="9350"/>
        </w:tabs>
        <w:rPr>
          <w:noProof/>
        </w:rPr>
      </w:pPr>
      <w:hyperlink w:anchor="_Toc317106153" w:history="1">
        <w:r w:rsidR="004333D4" w:rsidRPr="00964B14">
          <w:rPr>
            <w:rStyle w:val="Hyperlink"/>
            <w:rFonts w:cs="Calibri"/>
            <w:noProof/>
          </w:rPr>
          <w:t>Pilot Sites</w:t>
        </w:r>
        <w:r w:rsidR="004333D4">
          <w:rPr>
            <w:noProof/>
            <w:webHidden/>
          </w:rPr>
          <w:tab/>
        </w:r>
        <w:r w:rsidR="001E6003">
          <w:rPr>
            <w:noProof/>
            <w:webHidden/>
          </w:rPr>
          <w:fldChar w:fldCharType="begin"/>
        </w:r>
        <w:r w:rsidR="004333D4">
          <w:rPr>
            <w:noProof/>
            <w:webHidden/>
          </w:rPr>
          <w:instrText xml:space="preserve"> PAGEREF _Toc317106153 \h </w:instrText>
        </w:r>
        <w:r w:rsidR="001E6003">
          <w:rPr>
            <w:noProof/>
            <w:webHidden/>
          </w:rPr>
        </w:r>
        <w:r w:rsidR="001E6003">
          <w:rPr>
            <w:noProof/>
            <w:webHidden/>
          </w:rPr>
          <w:fldChar w:fldCharType="separate"/>
        </w:r>
        <w:r w:rsidR="00FC5560">
          <w:rPr>
            <w:noProof/>
            <w:webHidden/>
          </w:rPr>
          <w:t>16</w:t>
        </w:r>
        <w:r w:rsidR="001E6003">
          <w:rPr>
            <w:noProof/>
            <w:webHidden/>
          </w:rPr>
          <w:fldChar w:fldCharType="end"/>
        </w:r>
      </w:hyperlink>
    </w:p>
    <w:p w:rsidR="00484B38" w:rsidRPr="00484B38" w:rsidRDefault="00484B38" w:rsidP="00484B38">
      <w:pPr>
        <w:ind w:left="180" w:right="-90"/>
        <w:rPr>
          <w:noProof/>
        </w:rPr>
      </w:pPr>
      <w:r>
        <w:rPr>
          <w:noProof/>
        </w:rPr>
        <w:t xml:space="preserve"> </w:t>
      </w:r>
      <w:r w:rsidRPr="004333D4">
        <w:rPr>
          <w:noProof/>
        </w:rPr>
        <w:t>Criteria for Success: Pilot Program Evaluation</w:t>
      </w:r>
      <w:r>
        <w:rPr>
          <w:noProof/>
        </w:rPr>
        <w:t>…………..……………………………………………………………..</w:t>
      </w:r>
      <w:r>
        <w:rPr>
          <w:noProof/>
          <w:webHidden/>
        </w:rPr>
        <w:t>...........</w:t>
      </w:r>
      <w:r w:rsidR="001E6003" w:rsidRPr="004333D4">
        <w:rPr>
          <w:noProof/>
          <w:webHidden/>
        </w:rPr>
        <w:fldChar w:fldCharType="begin"/>
      </w:r>
      <w:r w:rsidRPr="004333D4">
        <w:rPr>
          <w:noProof/>
          <w:webHidden/>
        </w:rPr>
        <w:instrText xml:space="preserve"> PAGEREF _Toc317106153 \h </w:instrText>
      </w:r>
      <w:r w:rsidR="001E6003" w:rsidRPr="004333D4">
        <w:rPr>
          <w:noProof/>
          <w:webHidden/>
        </w:rPr>
      </w:r>
      <w:r w:rsidR="001E6003" w:rsidRPr="004333D4">
        <w:rPr>
          <w:noProof/>
          <w:webHidden/>
        </w:rPr>
        <w:fldChar w:fldCharType="separate"/>
      </w:r>
      <w:r w:rsidR="00FC5560">
        <w:rPr>
          <w:noProof/>
          <w:webHidden/>
        </w:rPr>
        <w:t>16</w:t>
      </w:r>
      <w:r w:rsidR="001E6003" w:rsidRPr="004333D4">
        <w:rPr>
          <w:noProof/>
          <w:webHidden/>
        </w:rPr>
        <w:fldChar w:fldCharType="end"/>
      </w:r>
    </w:p>
    <w:p w:rsidR="0028684D" w:rsidRDefault="000F6831" w:rsidP="002E63B4">
      <w:pPr>
        <w:pStyle w:val="TOC1"/>
      </w:pPr>
      <w:hyperlink w:anchor="_Toc317106154" w:history="1">
        <w:r w:rsidR="0028684D" w:rsidRPr="00964B14">
          <w:rPr>
            <w:rStyle w:val="Hyperlink"/>
            <w:rFonts w:cs="Calibri"/>
          </w:rPr>
          <w:t>Recommendations for Establishing a Confidential, Non-Punitive, Close</w:t>
        </w:r>
        <w:r w:rsidR="00B74CE8">
          <w:rPr>
            <w:rStyle w:val="Hyperlink"/>
            <w:rFonts w:cs="Calibri"/>
          </w:rPr>
          <w:t xml:space="preserve"> </w:t>
        </w:r>
        <w:r w:rsidR="0028684D" w:rsidRPr="00964B14">
          <w:rPr>
            <w:rStyle w:val="Hyperlink"/>
            <w:rFonts w:cs="Calibri"/>
          </w:rPr>
          <w:t>Call</w:t>
        </w:r>
        <w:r w:rsidR="00046A8D">
          <w:rPr>
            <w:rStyle w:val="Hyperlink"/>
            <w:rFonts w:cs="Calibri"/>
          </w:rPr>
          <w:t xml:space="preserve"> Safety</w:t>
        </w:r>
        <w:r w:rsidR="0028684D" w:rsidRPr="00964B14">
          <w:rPr>
            <w:rStyle w:val="Hyperlink"/>
            <w:rFonts w:cs="Calibri"/>
          </w:rPr>
          <w:t xml:space="preserve"> Reporting System for the Rail Transit Industry</w:t>
        </w:r>
        <w:r w:rsidR="0028684D">
          <w:rPr>
            <w:webHidden/>
          </w:rPr>
          <w:tab/>
        </w:r>
        <w:r w:rsidR="001E6003">
          <w:rPr>
            <w:webHidden/>
          </w:rPr>
          <w:fldChar w:fldCharType="begin"/>
        </w:r>
        <w:r w:rsidR="0028684D">
          <w:rPr>
            <w:webHidden/>
          </w:rPr>
          <w:instrText xml:space="preserve"> PAGEREF _Toc317106154 \h </w:instrText>
        </w:r>
        <w:r w:rsidR="001E6003">
          <w:rPr>
            <w:webHidden/>
          </w:rPr>
        </w:r>
        <w:r w:rsidR="001E6003">
          <w:rPr>
            <w:webHidden/>
          </w:rPr>
          <w:fldChar w:fldCharType="separate"/>
        </w:r>
        <w:r w:rsidR="00FC5560">
          <w:rPr>
            <w:webHidden/>
          </w:rPr>
          <w:t>18</w:t>
        </w:r>
        <w:r w:rsidR="001E6003">
          <w:rPr>
            <w:webHidden/>
          </w:rPr>
          <w:fldChar w:fldCharType="end"/>
        </w:r>
      </w:hyperlink>
    </w:p>
    <w:p w:rsidR="0028684D" w:rsidRDefault="000F6831" w:rsidP="002E63B4">
      <w:pPr>
        <w:pStyle w:val="TOC1"/>
      </w:pPr>
      <w:hyperlink w:anchor="_Toc317106155" w:history="1">
        <w:r w:rsidR="0028684D" w:rsidRPr="00964B14">
          <w:rPr>
            <w:rStyle w:val="Hyperlink"/>
            <w:rFonts w:cs="Calibri"/>
          </w:rPr>
          <w:t>Appendix A: Examples of Unsafe Incidents That Could Qualify For Non-Punitive</w:t>
        </w:r>
        <w:r w:rsidR="00A43D6A">
          <w:rPr>
            <w:rStyle w:val="Hyperlink"/>
            <w:rFonts w:cs="Calibri"/>
          </w:rPr>
          <w:t xml:space="preserve"> Safety</w:t>
        </w:r>
        <w:r w:rsidR="0028684D" w:rsidRPr="00964B14">
          <w:rPr>
            <w:rStyle w:val="Hyperlink"/>
            <w:rFonts w:cs="Calibri"/>
          </w:rPr>
          <w:t xml:space="preserve"> Reporting in a Rail Transit Environment</w:t>
        </w:r>
        <w:r w:rsidR="0028684D">
          <w:rPr>
            <w:webHidden/>
          </w:rPr>
          <w:tab/>
          <w:t>A-</w:t>
        </w:r>
        <w:r w:rsidR="001E6003">
          <w:rPr>
            <w:webHidden/>
          </w:rPr>
          <w:fldChar w:fldCharType="begin"/>
        </w:r>
        <w:r w:rsidR="0028684D">
          <w:rPr>
            <w:webHidden/>
          </w:rPr>
          <w:instrText xml:space="preserve"> PAGEREF _Toc317106155 \h </w:instrText>
        </w:r>
        <w:r w:rsidR="001E6003">
          <w:rPr>
            <w:webHidden/>
          </w:rPr>
        </w:r>
        <w:r w:rsidR="001E6003">
          <w:rPr>
            <w:webHidden/>
          </w:rPr>
          <w:fldChar w:fldCharType="separate"/>
        </w:r>
        <w:r w:rsidR="00FC5560">
          <w:rPr>
            <w:webHidden/>
          </w:rPr>
          <w:t>1</w:t>
        </w:r>
        <w:r w:rsidR="001E6003">
          <w:rPr>
            <w:webHidden/>
          </w:rPr>
          <w:fldChar w:fldCharType="end"/>
        </w:r>
      </w:hyperlink>
    </w:p>
    <w:p w:rsidR="0028684D" w:rsidRDefault="000F6831" w:rsidP="002E63B4">
      <w:pPr>
        <w:pStyle w:val="TOC1"/>
      </w:pPr>
      <w:hyperlink w:anchor="_Toc317106156" w:history="1">
        <w:r w:rsidR="0028684D" w:rsidRPr="00964B14">
          <w:rPr>
            <w:rStyle w:val="Hyperlink"/>
            <w:rFonts w:cs="Calibri"/>
          </w:rPr>
          <w:t>Appendix B: Model Implementing Memorandum of Understanding for Establishment of a Confidential, Non-Punitive, Close</w:t>
        </w:r>
        <w:r w:rsidR="00B74CE8">
          <w:rPr>
            <w:rStyle w:val="Hyperlink"/>
            <w:rFonts w:cs="Calibri"/>
          </w:rPr>
          <w:t xml:space="preserve"> </w:t>
        </w:r>
        <w:r w:rsidR="0028684D" w:rsidRPr="00964B14">
          <w:rPr>
            <w:rStyle w:val="Hyperlink"/>
            <w:rFonts w:cs="Calibri"/>
          </w:rPr>
          <w:t xml:space="preserve">Call </w:t>
        </w:r>
        <w:r w:rsidR="00A43D6A">
          <w:rPr>
            <w:rStyle w:val="Hyperlink"/>
            <w:rFonts w:cs="Calibri"/>
          </w:rPr>
          <w:t xml:space="preserve">Safety </w:t>
        </w:r>
        <w:r w:rsidR="0028684D" w:rsidRPr="00964B14">
          <w:rPr>
            <w:rStyle w:val="Hyperlink"/>
            <w:rFonts w:cs="Calibri"/>
          </w:rPr>
          <w:t>Reporting System for the Rail Transit Industry</w:t>
        </w:r>
        <w:r w:rsidR="0028684D">
          <w:rPr>
            <w:webHidden/>
          </w:rPr>
          <w:tab/>
          <w:t>B-</w:t>
        </w:r>
        <w:r w:rsidR="001E6003">
          <w:rPr>
            <w:webHidden/>
          </w:rPr>
          <w:fldChar w:fldCharType="begin"/>
        </w:r>
        <w:r w:rsidR="0028684D">
          <w:rPr>
            <w:webHidden/>
          </w:rPr>
          <w:instrText xml:space="preserve"> PAGEREF _Toc317106156 \h </w:instrText>
        </w:r>
        <w:r w:rsidR="001E6003">
          <w:rPr>
            <w:webHidden/>
          </w:rPr>
        </w:r>
        <w:r w:rsidR="001E6003">
          <w:rPr>
            <w:webHidden/>
          </w:rPr>
          <w:fldChar w:fldCharType="separate"/>
        </w:r>
        <w:r w:rsidR="00FC5560">
          <w:rPr>
            <w:webHidden/>
          </w:rPr>
          <w:t>1</w:t>
        </w:r>
        <w:r w:rsidR="001E6003">
          <w:rPr>
            <w:webHidden/>
          </w:rPr>
          <w:fldChar w:fldCharType="end"/>
        </w:r>
      </w:hyperlink>
    </w:p>
    <w:p w:rsidR="004A0114" w:rsidRDefault="004A0114" w:rsidP="00947533">
      <w:pPr>
        <w:rPr>
          <w:b/>
          <w:noProof/>
        </w:rPr>
      </w:pPr>
      <w:r w:rsidRPr="00947533">
        <w:rPr>
          <w:b/>
          <w:noProof/>
        </w:rPr>
        <w:t>Appendix C: Detailed Recommendations for Pilot Program Evaluation</w:t>
      </w:r>
      <w:r>
        <w:rPr>
          <w:b/>
          <w:noProof/>
        </w:rPr>
        <w:t>…………………………………………... C-1</w:t>
      </w:r>
    </w:p>
    <w:p w:rsidR="002E63B4" w:rsidRPr="00947533" w:rsidRDefault="002E63B4" w:rsidP="002E63B4">
      <w:pPr>
        <w:ind w:right="-90"/>
        <w:rPr>
          <w:b/>
          <w:noProof/>
        </w:rPr>
      </w:pPr>
      <w:r w:rsidRPr="002E63B4">
        <w:rPr>
          <w:b/>
          <w:noProof/>
        </w:rPr>
        <w:t>Appendix D: Certificates of Confidentiality……………………………………………………………………………………...</w:t>
      </w:r>
      <w:r>
        <w:rPr>
          <w:b/>
          <w:noProof/>
        </w:rPr>
        <w:t>.</w:t>
      </w:r>
      <w:r w:rsidRPr="002E63B4">
        <w:rPr>
          <w:b/>
          <w:noProof/>
        </w:rPr>
        <w:t>D-1</w:t>
      </w:r>
    </w:p>
    <w:p w:rsidR="004B4E6A" w:rsidRPr="00DB6FFF" w:rsidRDefault="001E6003" w:rsidP="004B4E6A">
      <w:pPr>
        <w:rPr>
          <w:rFonts w:cs="Calibri"/>
        </w:rPr>
        <w:sectPr w:rsidR="004B4E6A" w:rsidRPr="00DB6FFF" w:rsidSect="007F6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360"/>
        </w:sectPr>
      </w:pPr>
      <w:r w:rsidRPr="00DB6FFF">
        <w:rPr>
          <w:rFonts w:cs="Calibri"/>
          <w:b/>
          <w:bCs/>
          <w:noProof/>
        </w:rPr>
        <w:fldChar w:fldCharType="end"/>
      </w:r>
    </w:p>
    <w:p w:rsidR="00C92155" w:rsidRPr="00DB6FFF" w:rsidRDefault="00C92155" w:rsidP="004C37F6">
      <w:pPr>
        <w:rPr>
          <w:rFonts w:cs="Calibri"/>
        </w:rPr>
      </w:pPr>
    </w:p>
    <w:p w:rsidR="008719C1" w:rsidRPr="00DB6FFF" w:rsidRDefault="008719C1" w:rsidP="004C37F6">
      <w:pPr>
        <w:rPr>
          <w:rFonts w:cs="Calibri"/>
        </w:rPr>
      </w:pPr>
    </w:p>
    <w:p w:rsidR="00DB2109" w:rsidRDefault="00BD46F4" w:rsidP="004E264E">
      <w:pPr>
        <w:pStyle w:val="Heading1"/>
      </w:pPr>
      <w:r w:rsidRPr="00DB6FFF">
        <w:br w:type="page"/>
      </w:r>
      <w:r w:rsidR="00DB2109">
        <w:lastRenderedPageBreak/>
        <w:t>Acronyms</w:t>
      </w:r>
    </w:p>
    <w:p w:rsidR="00DB2109" w:rsidRDefault="00DB2109" w:rsidP="00947533"/>
    <w:p w:rsidR="00CB6113" w:rsidRDefault="00CB6113" w:rsidP="00947533">
      <w:r w:rsidRPr="00947533">
        <w:rPr>
          <w:b/>
        </w:rPr>
        <w:t>ASAP</w:t>
      </w:r>
      <w:r w:rsidR="00EF13BC">
        <w:tab/>
      </w:r>
      <w:r w:rsidR="00EF13BC">
        <w:tab/>
        <w:t>Aviation Safety Action Program</w:t>
      </w:r>
    </w:p>
    <w:p w:rsidR="00CB6113" w:rsidRDefault="00CB6113" w:rsidP="00947533">
      <w:r w:rsidRPr="00947533">
        <w:rPr>
          <w:b/>
        </w:rPr>
        <w:t>ASRS</w:t>
      </w:r>
      <w:r w:rsidR="00EF13BC">
        <w:tab/>
      </w:r>
      <w:r w:rsidR="00EF13BC">
        <w:tab/>
        <w:t>Aviation Safety Reporting System</w:t>
      </w:r>
    </w:p>
    <w:p w:rsidR="00DB2109" w:rsidRDefault="00CB6113" w:rsidP="00947533">
      <w:r w:rsidRPr="00947533">
        <w:rPr>
          <w:b/>
        </w:rPr>
        <w:t>BTS</w:t>
      </w:r>
      <w:r w:rsidR="00EF13BC">
        <w:tab/>
      </w:r>
      <w:r w:rsidR="00EF13BC">
        <w:tab/>
        <w:t>Bureau of Transportation Statistics</w:t>
      </w:r>
    </w:p>
    <w:p w:rsidR="00CB6113" w:rsidRDefault="00CB6113" w:rsidP="00947533">
      <w:r w:rsidRPr="00947533">
        <w:rPr>
          <w:b/>
        </w:rPr>
        <w:t>C</w:t>
      </w:r>
      <w:r w:rsidRPr="00947533">
        <w:rPr>
          <w:b/>
          <w:vertAlign w:val="superscript"/>
        </w:rPr>
        <w:t>3</w:t>
      </w:r>
      <w:r w:rsidRPr="00947533">
        <w:rPr>
          <w:b/>
        </w:rPr>
        <w:t>RS</w:t>
      </w:r>
      <w:r w:rsidR="00EF13BC">
        <w:tab/>
      </w:r>
      <w:r w:rsidR="00EF13BC">
        <w:tab/>
      </w:r>
      <w:r w:rsidR="00475716">
        <w:t xml:space="preserve">Confidential Close </w:t>
      </w:r>
      <w:r w:rsidR="00EF13BC">
        <w:t>Call Reporting System</w:t>
      </w:r>
    </w:p>
    <w:p w:rsidR="0032726F" w:rsidRDefault="0032726F" w:rsidP="00947533">
      <w:r w:rsidRPr="00947533">
        <w:rPr>
          <w:b/>
        </w:rPr>
        <w:t>CIPSEA</w:t>
      </w:r>
      <w:r w:rsidR="00EF13BC" w:rsidRPr="00947533">
        <w:rPr>
          <w:b/>
        </w:rPr>
        <w:tab/>
      </w:r>
      <w:r w:rsidR="00EF13BC">
        <w:tab/>
        <w:t>Confidential Information Protection and Statistical Efficiency Act of 2002</w:t>
      </w:r>
    </w:p>
    <w:p w:rsidR="0029158F" w:rsidRPr="0029158F" w:rsidRDefault="0029158F" w:rsidP="00947533">
      <w:r>
        <w:rPr>
          <w:b/>
        </w:rPr>
        <w:t>COC</w:t>
      </w:r>
      <w:r>
        <w:rPr>
          <w:b/>
        </w:rPr>
        <w:tab/>
      </w:r>
      <w:r>
        <w:rPr>
          <w:b/>
        </w:rPr>
        <w:tab/>
      </w:r>
      <w:r>
        <w:t>Certificate of Confidentiality</w:t>
      </w:r>
    </w:p>
    <w:p w:rsidR="00CB20B7" w:rsidRPr="00594B8D" w:rsidRDefault="00CB20B7" w:rsidP="00947533">
      <w:r w:rsidRPr="00594B8D">
        <w:rPr>
          <w:b/>
        </w:rPr>
        <w:t>ERC</w:t>
      </w:r>
      <w:r w:rsidRPr="00594B8D">
        <w:rPr>
          <w:b/>
        </w:rPr>
        <w:tab/>
      </w:r>
      <w:r w:rsidRPr="00594B8D">
        <w:rPr>
          <w:b/>
        </w:rPr>
        <w:tab/>
      </w:r>
      <w:r w:rsidR="00594B8D" w:rsidRPr="00594B8D">
        <w:t>Event Review Committee</w:t>
      </w:r>
    </w:p>
    <w:p w:rsidR="00CB6113" w:rsidRDefault="009C038A" w:rsidP="00947533">
      <w:r w:rsidRPr="00947533">
        <w:rPr>
          <w:b/>
        </w:rPr>
        <w:t>FAA</w:t>
      </w:r>
      <w:r w:rsidR="00EF13BC">
        <w:tab/>
      </w:r>
      <w:r w:rsidR="00EF13BC">
        <w:tab/>
        <w:t>Federal Aviation Administration</w:t>
      </w:r>
    </w:p>
    <w:p w:rsidR="0032726F" w:rsidRDefault="0032726F" w:rsidP="00947533">
      <w:r w:rsidRPr="00947533">
        <w:rPr>
          <w:b/>
        </w:rPr>
        <w:t>FOIA</w:t>
      </w:r>
      <w:r w:rsidR="00EF13BC">
        <w:tab/>
      </w:r>
      <w:r w:rsidR="00EF13BC">
        <w:tab/>
        <w:t>Freedom of Information Act</w:t>
      </w:r>
    </w:p>
    <w:p w:rsidR="009C038A" w:rsidRDefault="009C038A" w:rsidP="00947533">
      <w:r w:rsidRPr="00947533">
        <w:rPr>
          <w:b/>
        </w:rPr>
        <w:t>FRA</w:t>
      </w:r>
      <w:r w:rsidR="00EF13BC">
        <w:tab/>
      </w:r>
      <w:r w:rsidR="00EF13BC">
        <w:tab/>
        <w:t>Federal Railroad Administration</w:t>
      </w:r>
    </w:p>
    <w:p w:rsidR="0032726F" w:rsidRDefault="0032726F" w:rsidP="00947533">
      <w:r w:rsidRPr="00947533">
        <w:rPr>
          <w:b/>
        </w:rPr>
        <w:t>FTA</w:t>
      </w:r>
      <w:r w:rsidR="00EF13BC">
        <w:tab/>
      </w:r>
      <w:r w:rsidR="00EF13BC">
        <w:tab/>
        <w:t>Federal Transit Administration</w:t>
      </w:r>
    </w:p>
    <w:p w:rsidR="00CB6113" w:rsidRDefault="00CB6113" w:rsidP="00947533">
      <w:r w:rsidRPr="00947533">
        <w:rPr>
          <w:b/>
        </w:rPr>
        <w:t>MOU</w:t>
      </w:r>
      <w:r w:rsidR="00EF13BC">
        <w:tab/>
      </w:r>
      <w:r w:rsidR="00EF13BC">
        <w:tab/>
        <w:t>Memorandum of Understanding</w:t>
      </w:r>
    </w:p>
    <w:p w:rsidR="00CB6113" w:rsidRDefault="00CB6113" w:rsidP="00947533">
      <w:r w:rsidRPr="00947533">
        <w:rPr>
          <w:b/>
        </w:rPr>
        <w:t>NASA</w:t>
      </w:r>
      <w:r w:rsidR="00EF13BC">
        <w:tab/>
      </w:r>
      <w:r w:rsidR="00EF13BC">
        <w:tab/>
        <w:t>National Aeronautics and Space Administration</w:t>
      </w:r>
    </w:p>
    <w:p w:rsidR="00150D44" w:rsidRDefault="00150D44" w:rsidP="00947533">
      <w:r w:rsidRPr="00150D44">
        <w:rPr>
          <w:b/>
        </w:rPr>
        <w:t>NJT</w:t>
      </w:r>
      <w:r w:rsidRPr="00150D44">
        <w:rPr>
          <w:b/>
        </w:rPr>
        <w:tab/>
      </w:r>
      <w:r>
        <w:tab/>
        <w:t>New Jersey Transit</w:t>
      </w:r>
    </w:p>
    <w:p w:rsidR="0029158F" w:rsidRPr="0029158F" w:rsidRDefault="0029158F" w:rsidP="00947533">
      <w:r>
        <w:rPr>
          <w:b/>
        </w:rPr>
        <w:t>NIH</w:t>
      </w:r>
      <w:r>
        <w:rPr>
          <w:b/>
        </w:rPr>
        <w:tab/>
      </w:r>
      <w:r>
        <w:rPr>
          <w:b/>
        </w:rPr>
        <w:tab/>
      </w:r>
      <w:r>
        <w:t>National Institutes of Health</w:t>
      </w:r>
    </w:p>
    <w:p w:rsidR="00CB6113" w:rsidRDefault="00CB6113" w:rsidP="00947533">
      <w:r w:rsidRPr="00947533">
        <w:rPr>
          <w:b/>
        </w:rPr>
        <w:t>PII</w:t>
      </w:r>
      <w:r w:rsidR="0009105A">
        <w:tab/>
      </w:r>
      <w:r w:rsidR="0009105A">
        <w:tab/>
        <w:t xml:space="preserve">Personally </w:t>
      </w:r>
      <w:r w:rsidR="00EF13BC">
        <w:t>Identifiable Information</w:t>
      </w:r>
    </w:p>
    <w:p w:rsidR="009C038A" w:rsidRDefault="009C038A" w:rsidP="00947533">
      <w:r w:rsidRPr="00947533">
        <w:rPr>
          <w:b/>
        </w:rPr>
        <w:t>PRT</w:t>
      </w:r>
      <w:r w:rsidR="00EF13BC">
        <w:tab/>
      </w:r>
      <w:r w:rsidR="00EF13BC">
        <w:tab/>
        <w:t>Peer Review Team</w:t>
      </w:r>
    </w:p>
    <w:p w:rsidR="00CB6113" w:rsidRDefault="00CB6113" w:rsidP="00947533">
      <w:r w:rsidRPr="00947533">
        <w:rPr>
          <w:b/>
        </w:rPr>
        <w:t>RTA</w:t>
      </w:r>
      <w:r w:rsidR="00EF13BC">
        <w:tab/>
      </w:r>
      <w:r w:rsidR="00EF13BC">
        <w:tab/>
        <w:t>Rail Transit Agency</w:t>
      </w:r>
    </w:p>
    <w:p w:rsidR="00CB6113" w:rsidRDefault="00CB6113" w:rsidP="00947533">
      <w:r w:rsidRPr="00947533">
        <w:rPr>
          <w:b/>
        </w:rPr>
        <w:t>SSO</w:t>
      </w:r>
      <w:r w:rsidR="00EF13BC">
        <w:tab/>
      </w:r>
      <w:r w:rsidR="00EF13BC">
        <w:tab/>
        <w:t>State Safety Oversight</w:t>
      </w:r>
    </w:p>
    <w:p w:rsidR="00CB6113" w:rsidRPr="004E264E" w:rsidRDefault="00FB2C54" w:rsidP="00947533">
      <w:pPr>
        <w:sectPr w:rsidR="00CB6113" w:rsidRPr="004E264E" w:rsidSect="00947533">
          <w:type w:val="continuous"/>
          <w:pgSz w:w="12240" w:h="15840" w:code="1"/>
          <w:pgMar w:top="1440" w:right="1440" w:bottom="1440" w:left="1440" w:header="720" w:footer="720" w:gutter="0"/>
          <w:pgNumType w:fmt="lowerRoman" w:start="2"/>
          <w:cols w:space="720"/>
          <w:docGrid w:linePitch="360"/>
        </w:sectPr>
      </w:pPr>
      <w:r w:rsidRPr="00947533">
        <w:rPr>
          <w:b/>
        </w:rPr>
        <w:t>TRACS</w:t>
      </w:r>
      <w:r>
        <w:tab/>
      </w:r>
      <w:r>
        <w:tab/>
        <w:t>Transit Rail Advisory Committee for Safety</w:t>
      </w:r>
      <w:r w:rsidR="00EF13BC">
        <w:tab/>
      </w:r>
    </w:p>
    <w:p w:rsidR="00EA17F4" w:rsidRPr="00DB6FFF" w:rsidRDefault="00EA17F4" w:rsidP="00947533">
      <w:pPr>
        <w:pStyle w:val="Heading1"/>
        <w:rPr>
          <w:rFonts w:ascii="Calibri" w:hAnsi="Calibri"/>
        </w:rPr>
      </w:pPr>
      <w:bookmarkStart w:id="21" w:name="_Toc316336497"/>
      <w:bookmarkStart w:id="22" w:name="_Toc317106142"/>
      <w:r w:rsidRPr="00DB6FFF">
        <w:rPr>
          <w:rFonts w:ascii="Calibri" w:hAnsi="Calibri"/>
        </w:rPr>
        <w:lastRenderedPageBreak/>
        <w:t>FTA Administrator’s Tasking to TRACS Working Group 11-01</w:t>
      </w:r>
      <w:bookmarkEnd w:id="21"/>
      <w:bookmarkEnd w:id="22"/>
    </w:p>
    <w:p w:rsidR="00EA17F4" w:rsidRPr="00DB6FFF" w:rsidRDefault="00EA17F4" w:rsidP="004C37F6">
      <w:pPr>
        <w:rPr>
          <w:rFonts w:cs="Calibri"/>
        </w:rPr>
      </w:pPr>
      <w:r w:rsidRPr="00DB6FFF">
        <w:rPr>
          <w:rFonts w:cs="Calibri"/>
        </w:rPr>
        <w:t xml:space="preserve">“TRACS recommended that FTA pilot a </w:t>
      </w:r>
      <w:r w:rsidR="008D7209">
        <w:rPr>
          <w:rFonts w:cs="Calibri"/>
        </w:rPr>
        <w:t>close call</w:t>
      </w:r>
      <w:r w:rsidR="00EE56D0">
        <w:rPr>
          <w:rFonts w:cs="Calibri"/>
        </w:rPr>
        <w:t>,</w:t>
      </w:r>
      <w:r w:rsidRPr="00DB6FFF">
        <w:rPr>
          <w:rFonts w:cs="Calibri"/>
        </w:rPr>
        <w:t xml:space="preserve"> non-punitive reporting system. TRACS determined that FTA can improve the collection and analysis of vital safety data and trends by supporting the development of such a system. TRACS is tasked with providing consensus advice to FTA on proposed models and strategies for transit systems to implement a voluntary non-punitive reporting system that comports with its recommendation.” </w:t>
      </w:r>
    </w:p>
    <w:p w:rsidR="00C92155" w:rsidRPr="00DB6FFF" w:rsidRDefault="00AC60C1" w:rsidP="004C37F6">
      <w:pPr>
        <w:pStyle w:val="Subtitle"/>
        <w:rPr>
          <w:rFonts w:ascii="Calibri" w:hAnsi="Calibri" w:cs="Calibri"/>
        </w:rPr>
      </w:pPr>
      <w:r w:rsidRPr="00DB6FFF">
        <w:rPr>
          <w:rFonts w:ascii="Calibri" w:hAnsi="Calibri" w:cs="Calibri"/>
          <w:sz w:val="22"/>
          <w:szCs w:val="22"/>
        </w:rPr>
        <w:t>Peter Rogoff</w:t>
      </w:r>
      <w:r w:rsidR="00EA17F4" w:rsidRPr="00DB6FFF">
        <w:rPr>
          <w:rFonts w:ascii="Calibri" w:hAnsi="Calibri" w:cs="Calibri"/>
          <w:sz w:val="22"/>
          <w:szCs w:val="22"/>
        </w:rPr>
        <w:t xml:space="preserve">, </w:t>
      </w:r>
      <w:r w:rsidRPr="00DB6FFF">
        <w:rPr>
          <w:rFonts w:ascii="Calibri" w:hAnsi="Calibri" w:cs="Calibri"/>
          <w:sz w:val="22"/>
          <w:szCs w:val="22"/>
        </w:rPr>
        <w:t>FTA Administrator,</w:t>
      </w:r>
      <w:r w:rsidRPr="00DB6FFF">
        <w:rPr>
          <w:rFonts w:ascii="Calibri" w:hAnsi="Calibri" w:cs="Calibri"/>
          <w:i w:val="0"/>
          <w:sz w:val="22"/>
          <w:szCs w:val="22"/>
        </w:rPr>
        <w:t xml:space="preserve"> Memo to TRACS Working Group 11-01, 4/28/2011</w:t>
      </w:r>
    </w:p>
    <w:p w:rsidR="000850EF" w:rsidRDefault="000850EF" w:rsidP="004C37F6">
      <w:pPr>
        <w:pStyle w:val="Heading1"/>
        <w:spacing w:after="120"/>
        <w:rPr>
          <w:rFonts w:ascii="Calibri" w:hAnsi="Calibri" w:cs="Calibri"/>
        </w:rPr>
        <w:sectPr w:rsidR="000850EF" w:rsidSect="00947533">
          <w:pgSz w:w="12240" w:h="15840" w:code="1"/>
          <w:pgMar w:top="1440" w:right="1440" w:bottom="1440" w:left="1440" w:header="720" w:footer="720" w:gutter="0"/>
          <w:pgNumType w:start="1"/>
          <w:cols w:space="720"/>
          <w:docGrid w:linePitch="360"/>
        </w:sectPr>
      </w:pPr>
      <w:bookmarkStart w:id="23" w:name="_Toc316336498"/>
    </w:p>
    <w:p w:rsidR="0015175C" w:rsidRPr="0015175C" w:rsidRDefault="00CE19A1" w:rsidP="00F07AFA">
      <w:pPr>
        <w:pStyle w:val="Heading1"/>
      </w:pPr>
      <w:bookmarkStart w:id="24" w:name="_Toc317106143"/>
      <w:r w:rsidRPr="00DB6FFF">
        <w:lastRenderedPageBreak/>
        <w:t>Introduction</w:t>
      </w:r>
      <w:bookmarkStart w:id="25" w:name="_Toc292721511"/>
      <w:bookmarkEnd w:id="23"/>
      <w:bookmarkEnd w:id="24"/>
    </w:p>
    <w:p w:rsidR="00401F0B" w:rsidRPr="00401F0B" w:rsidRDefault="00401F0B" w:rsidP="0015175C">
      <w:pPr>
        <w:pStyle w:val="Heading2"/>
      </w:pPr>
      <w:r>
        <w:t xml:space="preserve">Purpose of </w:t>
      </w:r>
      <w:r w:rsidR="00C56B8D">
        <w:t xml:space="preserve">a </w:t>
      </w:r>
      <w:r>
        <w:t xml:space="preserve">Close Call </w:t>
      </w:r>
      <w:r w:rsidR="00A43D6A">
        <w:t xml:space="preserve">Safety </w:t>
      </w:r>
      <w:r>
        <w:t>Reporting</w:t>
      </w:r>
      <w:r w:rsidR="00C56B8D">
        <w:t xml:space="preserve"> System</w:t>
      </w:r>
    </w:p>
    <w:p w:rsidR="00EE56D0" w:rsidRDefault="00C56B8D" w:rsidP="004C37F6">
      <w:pPr>
        <w:spacing w:after="120"/>
        <w:rPr>
          <w:rFonts w:cs="Calibri"/>
        </w:rPr>
      </w:pPr>
      <w:r>
        <w:rPr>
          <w:rFonts w:cs="Calibri"/>
        </w:rPr>
        <w:t>The</w:t>
      </w:r>
      <w:r w:rsidR="00B001DF">
        <w:rPr>
          <w:rFonts w:cs="Calibri"/>
        </w:rPr>
        <w:t xml:space="preserve"> primary</w:t>
      </w:r>
      <w:r>
        <w:rPr>
          <w:rFonts w:cs="Calibri"/>
        </w:rPr>
        <w:t xml:space="preserve"> purpose of a </w:t>
      </w:r>
      <w:r w:rsidR="008D7209">
        <w:rPr>
          <w:rFonts w:cs="Calibri"/>
        </w:rPr>
        <w:t>close call</w:t>
      </w:r>
      <w:r>
        <w:rPr>
          <w:rFonts w:cs="Calibri"/>
        </w:rPr>
        <w:t xml:space="preserve"> safety reporting system is to improve overall safety</w:t>
      </w:r>
      <w:r w:rsidR="00B001DF">
        <w:rPr>
          <w:rFonts w:cs="Calibri"/>
        </w:rPr>
        <w:t xml:space="preserve"> by encouraging employees to report </w:t>
      </w:r>
      <w:r w:rsidR="006C7CC7">
        <w:rPr>
          <w:rFonts w:cs="Calibri"/>
        </w:rPr>
        <w:t xml:space="preserve">unsafe conditions or acts </w:t>
      </w:r>
      <w:r w:rsidR="0015175C">
        <w:rPr>
          <w:rFonts w:cs="Calibri"/>
        </w:rPr>
        <w:t xml:space="preserve">voluntarily </w:t>
      </w:r>
      <w:r w:rsidR="006C7CC7">
        <w:rPr>
          <w:rFonts w:cs="Calibri"/>
        </w:rPr>
        <w:t>that would otherwise not be known or detected by transit agency management</w:t>
      </w:r>
      <w:r>
        <w:rPr>
          <w:rFonts w:cs="Calibri"/>
        </w:rPr>
        <w:t xml:space="preserve">. </w:t>
      </w:r>
    </w:p>
    <w:p w:rsidR="004E264E" w:rsidRDefault="004E264E" w:rsidP="004C37F6">
      <w:pPr>
        <w:spacing w:after="120"/>
        <w:rPr>
          <w:rFonts w:cs="Calibri"/>
        </w:rPr>
      </w:pPr>
      <w:r w:rsidRPr="004E264E">
        <w:rPr>
          <w:rFonts w:cs="Calibri"/>
        </w:rPr>
        <w:t>A</w:t>
      </w:r>
      <w:r w:rsidR="001B3861">
        <w:rPr>
          <w:rFonts w:cs="Calibri"/>
        </w:rPr>
        <w:t xml:space="preserve"> </w:t>
      </w:r>
      <w:r w:rsidRPr="004E264E">
        <w:rPr>
          <w:rFonts w:cs="Calibri"/>
        </w:rPr>
        <w:t xml:space="preserve">close call reporting system </w:t>
      </w:r>
      <w:r w:rsidR="009F7DAE">
        <w:rPr>
          <w:rFonts w:cs="Calibri"/>
        </w:rPr>
        <w:t>offers</w:t>
      </w:r>
      <w:r w:rsidR="009F7DAE" w:rsidRPr="004E264E">
        <w:rPr>
          <w:rFonts w:cs="Calibri"/>
        </w:rPr>
        <w:t xml:space="preserve"> </w:t>
      </w:r>
      <w:r w:rsidRPr="004E264E">
        <w:rPr>
          <w:rFonts w:cs="Calibri"/>
        </w:rPr>
        <w:t xml:space="preserve">another tool to identify and assess safety risks in transit agency operations. Close call </w:t>
      </w:r>
      <w:r w:rsidR="00D35C08">
        <w:rPr>
          <w:rFonts w:cs="Calibri"/>
        </w:rPr>
        <w:t xml:space="preserve">reporting systems </w:t>
      </w:r>
      <w:r w:rsidRPr="004E264E">
        <w:rPr>
          <w:rFonts w:cs="Calibri"/>
        </w:rPr>
        <w:t>present opportunit</w:t>
      </w:r>
      <w:r w:rsidR="00D52120">
        <w:rPr>
          <w:rFonts w:cs="Calibri"/>
        </w:rPr>
        <w:t>ies</w:t>
      </w:r>
      <w:r w:rsidRPr="004E264E">
        <w:rPr>
          <w:rFonts w:cs="Calibri"/>
        </w:rPr>
        <w:t xml:space="preserve"> to </w:t>
      </w:r>
      <w:r w:rsidR="000E197B">
        <w:rPr>
          <w:rFonts w:cs="Calibri"/>
        </w:rPr>
        <w:t>improve</w:t>
      </w:r>
      <w:r w:rsidRPr="004E264E">
        <w:rPr>
          <w:rFonts w:cs="Calibri"/>
        </w:rPr>
        <w:t xml:space="preserve"> a transit agency’s safety </w:t>
      </w:r>
      <w:r w:rsidR="00B02FB7">
        <w:rPr>
          <w:rFonts w:cs="Calibri"/>
        </w:rPr>
        <w:t>performance</w:t>
      </w:r>
      <w:r w:rsidR="00D35C08">
        <w:rPr>
          <w:rFonts w:cs="Calibri"/>
        </w:rPr>
        <w:t xml:space="preserve"> by </w:t>
      </w:r>
      <w:r w:rsidR="00D52120">
        <w:rPr>
          <w:rFonts w:cs="Calibri"/>
        </w:rPr>
        <w:t>producing saf</w:t>
      </w:r>
      <w:r w:rsidR="000E197B">
        <w:rPr>
          <w:rFonts w:cs="Calibri"/>
        </w:rPr>
        <w:t xml:space="preserve">ety-critical information </w:t>
      </w:r>
      <w:r w:rsidR="00264E88">
        <w:rPr>
          <w:rFonts w:cs="Calibri"/>
        </w:rPr>
        <w:t>that can lead to</w:t>
      </w:r>
      <w:r w:rsidR="003B6B36">
        <w:rPr>
          <w:rFonts w:cs="Calibri"/>
        </w:rPr>
        <w:t xml:space="preserve"> strategies</w:t>
      </w:r>
      <w:r w:rsidR="00D52120">
        <w:rPr>
          <w:rFonts w:cs="Calibri"/>
        </w:rPr>
        <w:t xml:space="preserve"> and interventions</w:t>
      </w:r>
      <w:r w:rsidR="003B6B36">
        <w:rPr>
          <w:rFonts w:cs="Calibri"/>
        </w:rPr>
        <w:t xml:space="preserve"> to prevent</w:t>
      </w:r>
      <w:r w:rsidR="00D35C08">
        <w:rPr>
          <w:rFonts w:cs="Calibri"/>
        </w:rPr>
        <w:t xml:space="preserve"> </w:t>
      </w:r>
      <w:r w:rsidR="00D52120">
        <w:rPr>
          <w:rFonts w:cs="Calibri"/>
        </w:rPr>
        <w:t>accidents and injuries</w:t>
      </w:r>
      <w:r w:rsidRPr="004E264E">
        <w:rPr>
          <w:rFonts w:cs="Calibri"/>
        </w:rPr>
        <w:t xml:space="preserve">. </w:t>
      </w:r>
      <w:r w:rsidR="009F7DAE">
        <w:rPr>
          <w:rFonts w:cs="Calibri"/>
        </w:rPr>
        <w:t>To</w:t>
      </w:r>
      <w:r w:rsidR="00A90F12">
        <w:rPr>
          <w:rFonts w:cs="Calibri"/>
        </w:rPr>
        <w:t xml:space="preserve"> be effective, all parties must work together t</w:t>
      </w:r>
      <w:r w:rsidR="001B3861">
        <w:rPr>
          <w:rFonts w:cs="Calibri"/>
        </w:rPr>
        <w:t>o improve safety</w:t>
      </w:r>
      <w:r w:rsidR="00FA624C">
        <w:rPr>
          <w:rFonts w:cs="Calibri"/>
        </w:rPr>
        <w:t>,</w:t>
      </w:r>
      <w:r w:rsidR="001B3861">
        <w:rPr>
          <w:rFonts w:cs="Calibri"/>
        </w:rPr>
        <w:t xml:space="preserve"> and the system must </w:t>
      </w:r>
      <w:r w:rsidR="009F7DAE">
        <w:rPr>
          <w:rFonts w:cs="Calibri"/>
        </w:rPr>
        <w:t>make</w:t>
      </w:r>
      <w:r w:rsidR="001B3861">
        <w:rPr>
          <w:rFonts w:cs="Calibri"/>
        </w:rPr>
        <w:t xml:space="preserve"> all participants feel comfortable reporting their concerns without fear of po</w:t>
      </w:r>
      <w:r w:rsidR="00CA21BD">
        <w:rPr>
          <w:rFonts w:cs="Calibri"/>
        </w:rPr>
        <w:t xml:space="preserve">tential discipline, reprisal, </w:t>
      </w:r>
      <w:r w:rsidR="001B3861">
        <w:rPr>
          <w:rFonts w:cs="Calibri"/>
        </w:rPr>
        <w:t>dismissal</w:t>
      </w:r>
      <w:r w:rsidR="00CA21BD">
        <w:rPr>
          <w:rFonts w:cs="Calibri"/>
        </w:rPr>
        <w:t>, or legal discovery</w:t>
      </w:r>
      <w:r w:rsidR="001B3861">
        <w:rPr>
          <w:rFonts w:cs="Calibri"/>
        </w:rPr>
        <w:t>.</w:t>
      </w:r>
    </w:p>
    <w:p w:rsidR="0040489D" w:rsidRPr="00460A06" w:rsidRDefault="0040489D" w:rsidP="004C37F6">
      <w:pPr>
        <w:spacing w:after="120"/>
        <w:rPr>
          <w:rFonts w:cs="Calibri"/>
        </w:rPr>
      </w:pPr>
      <w:r w:rsidRPr="00460A06">
        <w:t>A clo</w:t>
      </w:r>
      <w:r w:rsidR="00460A06">
        <w:t xml:space="preserve">se call reporting system at its best </w:t>
      </w:r>
      <w:r w:rsidRPr="00460A06">
        <w:t>is</w:t>
      </w:r>
      <w:r w:rsidR="00460A06">
        <w:t xml:space="preserve"> </w:t>
      </w:r>
      <w:r w:rsidR="00EE56D0">
        <w:t xml:space="preserve">an opportunity for </w:t>
      </w:r>
      <w:r w:rsidRPr="00460A06">
        <w:rPr>
          <w:bCs/>
        </w:rPr>
        <w:t>employees</w:t>
      </w:r>
      <w:r w:rsidRPr="00460A06">
        <w:t xml:space="preserve"> and </w:t>
      </w:r>
      <w:r w:rsidRPr="00460A06">
        <w:rPr>
          <w:bCs/>
        </w:rPr>
        <w:t>management</w:t>
      </w:r>
      <w:r w:rsidRPr="00460A06">
        <w:t xml:space="preserve"> </w:t>
      </w:r>
      <w:r w:rsidR="00EE56D0">
        <w:t>to collaborate in</w:t>
      </w:r>
      <w:r w:rsidR="00EE56D0" w:rsidRPr="00460A06">
        <w:t xml:space="preserve"> </w:t>
      </w:r>
      <w:r w:rsidRPr="00460A06">
        <w:t xml:space="preserve">achieving a higher goal – </w:t>
      </w:r>
      <w:r w:rsidRPr="00460A06">
        <w:rPr>
          <w:bCs/>
        </w:rPr>
        <w:t>safety</w:t>
      </w:r>
      <w:r w:rsidR="005933FD" w:rsidRPr="00460A06">
        <w:t xml:space="preserve">. </w:t>
      </w:r>
      <w:r w:rsidRPr="00460A06">
        <w:t xml:space="preserve">An accident or an injury </w:t>
      </w:r>
      <w:r w:rsidR="00460A06" w:rsidRPr="00460A06">
        <w:t>affects</w:t>
      </w:r>
      <w:r w:rsidRPr="00460A06">
        <w:t xml:space="preserve"> </w:t>
      </w:r>
      <w:r w:rsidR="00460A06" w:rsidRPr="00460A06">
        <w:t>everyone, so</w:t>
      </w:r>
      <w:r w:rsidRPr="00460A06">
        <w:t xml:space="preserve"> it is essential that employees and management </w:t>
      </w:r>
      <w:r w:rsidRPr="00460A06">
        <w:rPr>
          <w:bCs/>
        </w:rPr>
        <w:t>work together</w:t>
      </w:r>
      <w:r w:rsidRPr="00460A06">
        <w:t xml:space="preserve"> toward </w:t>
      </w:r>
      <w:r w:rsidRPr="00460A06">
        <w:rPr>
          <w:bCs/>
        </w:rPr>
        <w:t>building</w:t>
      </w:r>
      <w:r w:rsidRPr="00460A06">
        <w:t xml:space="preserve"> a system of non-punitive close call</w:t>
      </w:r>
      <w:r w:rsidR="009F7DAE">
        <w:t xml:space="preserve"> reporting</w:t>
      </w:r>
      <w:r w:rsidR="00460A06">
        <w:t>.</w:t>
      </w:r>
    </w:p>
    <w:p w:rsidR="00401F0B" w:rsidRDefault="00401F0B" w:rsidP="00947533">
      <w:pPr>
        <w:pStyle w:val="Heading2"/>
      </w:pPr>
      <w:r>
        <w:t>Confidential, Non-Punitive</w:t>
      </w:r>
      <w:r w:rsidR="00B02FB7">
        <w:t>,</w:t>
      </w:r>
      <w:r>
        <w:t xml:space="preserve"> Close Call </w:t>
      </w:r>
      <w:r w:rsidR="00A43D6A">
        <w:t xml:space="preserve">Safety </w:t>
      </w:r>
      <w:r>
        <w:t xml:space="preserve">Reporting </w:t>
      </w:r>
    </w:p>
    <w:p w:rsidR="00F17EDC" w:rsidRDefault="00AC60C1" w:rsidP="004C37F6">
      <w:pPr>
        <w:spacing w:after="120"/>
        <w:rPr>
          <w:rFonts w:cs="Calibri"/>
        </w:rPr>
      </w:pPr>
      <w:r w:rsidRPr="00DB6FFF">
        <w:rPr>
          <w:rFonts w:cs="Calibri"/>
        </w:rPr>
        <w:t xml:space="preserve">The rail transit industry can benefit greatly from lessons learned by other transportation </w:t>
      </w:r>
      <w:r w:rsidR="005933FD" w:rsidRPr="00DB6FFF">
        <w:rPr>
          <w:rFonts w:cs="Calibri"/>
        </w:rPr>
        <w:t>modes, which</w:t>
      </w:r>
      <w:r w:rsidRPr="00DB6FFF">
        <w:rPr>
          <w:rFonts w:cs="Calibri"/>
        </w:rPr>
        <w:t xml:space="preserve"> have initiated </w:t>
      </w:r>
      <w:r w:rsidR="00857755" w:rsidRPr="00DB6FFF">
        <w:rPr>
          <w:rFonts w:cs="Calibri"/>
        </w:rPr>
        <w:t>confidential, non-punitive</w:t>
      </w:r>
      <w:r w:rsidR="00B10D64">
        <w:rPr>
          <w:rFonts w:cs="Calibri"/>
        </w:rPr>
        <w:t>,</w:t>
      </w:r>
      <w:r w:rsidRPr="00DB6FFF">
        <w:rPr>
          <w:rFonts w:cs="Calibri"/>
        </w:rPr>
        <w:t xml:space="preserve"> </w:t>
      </w:r>
      <w:r w:rsidR="008D7209">
        <w:rPr>
          <w:rFonts w:cs="Calibri"/>
        </w:rPr>
        <w:t>close call</w:t>
      </w:r>
      <w:r w:rsidR="00A10834">
        <w:rPr>
          <w:rFonts w:cs="Calibri"/>
        </w:rPr>
        <w:t xml:space="preserve"> </w:t>
      </w:r>
      <w:r w:rsidR="00046A8D">
        <w:rPr>
          <w:rFonts w:cs="Calibri"/>
        </w:rPr>
        <w:t xml:space="preserve">safety </w:t>
      </w:r>
      <w:r w:rsidRPr="00DB6FFF">
        <w:rPr>
          <w:rFonts w:cs="Calibri"/>
        </w:rPr>
        <w:t xml:space="preserve">reporting systems. These </w:t>
      </w:r>
      <w:r w:rsidR="00027540" w:rsidRPr="00DB6FFF">
        <w:rPr>
          <w:rFonts w:cs="Calibri"/>
        </w:rPr>
        <w:t xml:space="preserve">voluntary systems </w:t>
      </w:r>
      <w:r w:rsidRPr="00DB6FFF">
        <w:rPr>
          <w:rFonts w:cs="Calibri"/>
        </w:rPr>
        <w:t>encourage all employees to report</w:t>
      </w:r>
      <w:r w:rsidR="00C06393" w:rsidRPr="00DB6FFF">
        <w:rPr>
          <w:rFonts w:cs="Calibri"/>
        </w:rPr>
        <w:t xml:space="preserve"> </w:t>
      </w:r>
      <w:r w:rsidR="00A31292">
        <w:rPr>
          <w:rFonts w:cs="Calibri"/>
        </w:rPr>
        <w:t>events</w:t>
      </w:r>
      <w:r w:rsidR="00195AC4">
        <w:rPr>
          <w:rFonts w:cs="Calibri"/>
        </w:rPr>
        <w:t xml:space="preserve"> (</w:t>
      </w:r>
      <w:r w:rsidR="0053043A">
        <w:rPr>
          <w:rFonts w:cs="Calibri"/>
        </w:rPr>
        <w:t xml:space="preserve">i.e., </w:t>
      </w:r>
      <w:r w:rsidR="00195AC4">
        <w:rPr>
          <w:rFonts w:cs="Calibri"/>
        </w:rPr>
        <w:t>noteworthy happenings</w:t>
      </w:r>
      <w:r w:rsidR="0053043A">
        <w:rPr>
          <w:rFonts w:cs="Calibri"/>
        </w:rPr>
        <w:t xml:space="preserve"> </w:t>
      </w:r>
      <w:r w:rsidR="005933FD">
        <w:rPr>
          <w:rFonts w:cs="Calibri"/>
        </w:rPr>
        <w:t>that</w:t>
      </w:r>
      <w:r w:rsidR="00264AB3">
        <w:rPr>
          <w:rFonts w:cs="Calibri"/>
        </w:rPr>
        <w:t xml:space="preserve"> adversely affect safety or have the potential to adversely affect safety</w:t>
      </w:r>
      <w:r w:rsidR="00E04304">
        <w:rPr>
          <w:rFonts w:cs="Calibri"/>
        </w:rPr>
        <w:t xml:space="preserve">) </w:t>
      </w:r>
      <w:r w:rsidR="00E04304" w:rsidRPr="00DB6FFF">
        <w:rPr>
          <w:rFonts w:cs="Calibri"/>
        </w:rPr>
        <w:t>that</w:t>
      </w:r>
      <w:r w:rsidRPr="00DB6FFF">
        <w:rPr>
          <w:rFonts w:cs="Calibri"/>
        </w:rPr>
        <w:t xml:space="preserve"> </w:t>
      </w:r>
      <w:r w:rsidR="00A10834">
        <w:rPr>
          <w:rFonts w:cs="Calibri"/>
        </w:rPr>
        <w:t xml:space="preserve">otherwise would not have been discovered by </w:t>
      </w:r>
      <w:r w:rsidR="005B1383">
        <w:rPr>
          <w:rFonts w:cs="Calibri"/>
        </w:rPr>
        <w:t xml:space="preserve">transit agency </w:t>
      </w:r>
      <w:r w:rsidR="00A10834">
        <w:rPr>
          <w:rFonts w:cs="Calibri"/>
        </w:rPr>
        <w:t>management</w:t>
      </w:r>
      <w:r w:rsidRPr="00DB6FFF">
        <w:rPr>
          <w:rFonts w:cs="Calibri"/>
        </w:rPr>
        <w:t xml:space="preserve"> yet nonetheless could be symptoms of problems that could lead to more serious </w:t>
      </w:r>
      <w:r w:rsidR="005933FD">
        <w:rPr>
          <w:rFonts w:cs="Calibri"/>
        </w:rPr>
        <w:t xml:space="preserve">future </w:t>
      </w:r>
      <w:r w:rsidRPr="00DB6FFF">
        <w:rPr>
          <w:rFonts w:cs="Calibri"/>
        </w:rPr>
        <w:t xml:space="preserve">events. </w:t>
      </w:r>
      <w:r w:rsidR="00556B1A" w:rsidRPr="00DB6FFF">
        <w:rPr>
          <w:rFonts w:cs="Calibri"/>
        </w:rPr>
        <w:t xml:space="preserve">These systems also encourage the reporting of general safety concerns, even if they </w:t>
      </w:r>
      <w:r w:rsidR="005B1383">
        <w:rPr>
          <w:rFonts w:cs="Calibri"/>
        </w:rPr>
        <w:t>have</w:t>
      </w:r>
      <w:r w:rsidR="00556B1A" w:rsidRPr="00DB6FFF">
        <w:rPr>
          <w:rFonts w:cs="Calibri"/>
        </w:rPr>
        <w:t xml:space="preserve"> not </w:t>
      </w:r>
      <w:r w:rsidR="005B1383">
        <w:rPr>
          <w:rFonts w:cs="Calibri"/>
        </w:rPr>
        <w:t xml:space="preserve">yet </w:t>
      </w:r>
      <w:r w:rsidR="00556B1A" w:rsidRPr="00DB6FFF">
        <w:rPr>
          <w:rFonts w:cs="Calibri"/>
        </w:rPr>
        <w:t>result</w:t>
      </w:r>
      <w:r w:rsidR="005B1383">
        <w:rPr>
          <w:rFonts w:cs="Calibri"/>
        </w:rPr>
        <w:t>ed</w:t>
      </w:r>
      <w:r w:rsidR="00556B1A" w:rsidRPr="00DB6FFF">
        <w:rPr>
          <w:rFonts w:cs="Calibri"/>
        </w:rPr>
        <w:t xml:space="preserve"> in an identifi</w:t>
      </w:r>
      <w:r w:rsidR="00D52120">
        <w:rPr>
          <w:rFonts w:cs="Calibri"/>
        </w:rPr>
        <w:t>ed</w:t>
      </w:r>
      <w:r w:rsidR="00556B1A" w:rsidRPr="00DB6FFF">
        <w:rPr>
          <w:rFonts w:cs="Calibri"/>
        </w:rPr>
        <w:t xml:space="preserve"> “</w:t>
      </w:r>
      <w:r w:rsidR="00A31292">
        <w:rPr>
          <w:rFonts w:cs="Calibri"/>
        </w:rPr>
        <w:t>event</w:t>
      </w:r>
      <w:r w:rsidR="00556B1A" w:rsidRPr="00DB6FFF">
        <w:rPr>
          <w:rFonts w:cs="Calibri"/>
        </w:rPr>
        <w:t xml:space="preserve">.” </w:t>
      </w:r>
      <w:r w:rsidR="00BD5372" w:rsidRPr="00DB6FFF">
        <w:rPr>
          <w:rFonts w:cs="Calibri"/>
        </w:rPr>
        <w:t xml:space="preserve">Through systematic </w:t>
      </w:r>
      <w:r w:rsidR="00B3568F">
        <w:rPr>
          <w:rFonts w:cs="Calibri"/>
        </w:rPr>
        <w:t xml:space="preserve">report </w:t>
      </w:r>
      <w:r w:rsidR="00BD5372" w:rsidRPr="00DB6FFF">
        <w:rPr>
          <w:rFonts w:cs="Calibri"/>
        </w:rPr>
        <w:t xml:space="preserve">analysis, </w:t>
      </w:r>
      <w:r w:rsidR="00F17EDC">
        <w:rPr>
          <w:rFonts w:cs="Calibri"/>
        </w:rPr>
        <w:t>accident precursors</w:t>
      </w:r>
      <w:r w:rsidR="00BD5372" w:rsidRPr="00DB6FFF">
        <w:rPr>
          <w:rFonts w:cs="Calibri"/>
        </w:rPr>
        <w:t xml:space="preserve"> that </w:t>
      </w:r>
      <w:r w:rsidR="00B3568F">
        <w:rPr>
          <w:rFonts w:cs="Calibri"/>
        </w:rPr>
        <w:t>might</w:t>
      </w:r>
      <w:r w:rsidR="00B3568F" w:rsidRPr="00DB6FFF">
        <w:rPr>
          <w:rFonts w:cs="Calibri"/>
        </w:rPr>
        <w:t xml:space="preserve"> </w:t>
      </w:r>
      <w:r w:rsidR="00BD5372" w:rsidRPr="00DB6FFF">
        <w:rPr>
          <w:rFonts w:cs="Calibri"/>
        </w:rPr>
        <w:t xml:space="preserve">otherwise have gone undetected or undocumented </w:t>
      </w:r>
      <w:r w:rsidR="00B86A89">
        <w:rPr>
          <w:rFonts w:cs="Calibri"/>
        </w:rPr>
        <w:t>are</w:t>
      </w:r>
      <w:r w:rsidR="00BD5372" w:rsidRPr="00DB6FFF">
        <w:rPr>
          <w:rFonts w:cs="Calibri"/>
        </w:rPr>
        <w:t xml:space="preserve"> identified</w:t>
      </w:r>
      <w:r w:rsidR="0061528A" w:rsidRPr="00DB6FFF">
        <w:rPr>
          <w:rFonts w:cs="Calibri"/>
        </w:rPr>
        <w:t>,</w:t>
      </w:r>
      <w:r w:rsidR="00BD5372" w:rsidRPr="00DB6FFF">
        <w:rPr>
          <w:rFonts w:cs="Calibri"/>
        </w:rPr>
        <w:t xml:space="preserve"> and corrective measures can be taken to eliminate </w:t>
      </w:r>
      <w:r w:rsidR="001A6C64">
        <w:rPr>
          <w:rFonts w:cs="Calibri"/>
        </w:rPr>
        <w:t xml:space="preserve">or control </w:t>
      </w:r>
      <w:r w:rsidR="00BD5372" w:rsidRPr="00DB6FFF">
        <w:rPr>
          <w:rFonts w:cs="Calibri"/>
        </w:rPr>
        <w:t>the</w:t>
      </w:r>
      <w:r w:rsidR="00F17EDC">
        <w:rPr>
          <w:rFonts w:cs="Calibri"/>
        </w:rPr>
        <w:t>ir</w:t>
      </w:r>
      <w:r w:rsidR="00BD5372" w:rsidRPr="00DB6FFF">
        <w:rPr>
          <w:rFonts w:cs="Calibri"/>
        </w:rPr>
        <w:t xml:space="preserve"> </w:t>
      </w:r>
      <w:r w:rsidR="00E5702E">
        <w:rPr>
          <w:rFonts w:cs="Calibri"/>
        </w:rPr>
        <w:t>cause</w:t>
      </w:r>
      <w:r w:rsidR="00F17EDC">
        <w:rPr>
          <w:rFonts w:cs="Calibri"/>
        </w:rPr>
        <w:t>s.</w:t>
      </w:r>
    </w:p>
    <w:p w:rsidR="00027540" w:rsidRPr="00DB6FFF" w:rsidRDefault="00027540" w:rsidP="004C37F6">
      <w:pPr>
        <w:spacing w:after="120"/>
        <w:rPr>
          <w:rFonts w:cs="Calibri"/>
        </w:rPr>
      </w:pPr>
      <w:r w:rsidRPr="00B3568F">
        <w:rPr>
          <w:rFonts w:cs="Calibri"/>
        </w:rPr>
        <w:t xml:space="preserve">It is not unusual to find an organizational culture in the rail transit industry where </w:t>
      </w:r>
      <w:r w:rsidR="00B44253" w:rsidRPr="00B3568F">
        <w:rPr>
          <w:rFonts w:cs="Calibri"/>
        </w:rPr>
        <w:t xml:space="preserve">employees perceive that </w:t>
      </w:r>
      <w:r w:rsidR="0053043A" w:rsidRPr="00B3568F">
        <w:rPr>
          <w:rFonts w:cs="Calibri"/>
        </w:rPr>
        <w:t>events</w:t>
      </w:r>
      <w:r w:rsidR="007C60D1" w:rsidRPr="00B3568F">
        <w:rPr>
          <w:rFonts w:cs="Calibri"/>
        </w:rPr>
        <w:t xml:space="preserve"> </w:t>
      </w:r>
      <w:r w:rsidRPr="00B3568F">
        <w:rPr>
          <w:rFonts w:cs="Calibri"/>
        </w:rPr>
        <w:t>are blamed on the actions</w:t>
      </w:r>
      <w:r w:rsidR="0028769C" w:rsidRPr="00B3568F">
        <w:rPr>
          <w:rFonts w:cs="Calibri"/>
        </w:rPr>
        <w:t xml:space="preserve"> or inactions of individuals</w:t>
      </w:r>
      <w:r w:rsidRPr="00B3568F">
        <w:rPr>
          <w:rFonts w:cs="Calibri"/>
        </w:rPr>
        <w:t>,</w:t>
      </w:r>
      <w:r w:rsidR="00414531" w:rsidRPr="00B3568F">
        <w:rPr>
          <w:rFonts w:cs="Calibri"/>
        </w:rPr>
        <w:t xml:space="preserve"> without</w:t>
      </w:r>
      <w:r w:rsidRPr="00B3568F">
        <w:rPr>
          <w:rFonts w:cs="Calibri"/>
        </w:rPr>
        <w:t xml:space="preserve"> </w:t>
      </w:r>
      <w:r w:rsidR="0061528A" w:rsidRPr="00B3568F">
        <w:rPr>
          <w:rFonts w:cs="Calibri"/>
        </w:rPr>
        <w:t>in-depth investigation into the</w:t>
      </w:r>
      <w:r w:rsidRPr="00B3568F">
        <w:rPr>
          <w:rFonts w:cs="Calibri"/>
        </w:rPr>
        <w:t xml:space="preserve"> </w:t>
      </w:r>
      <w:r w:rsidR="00B3568F">
        <w:rPr>
          <w:rFonts w:cs="Calibri"/>
        </w:rPr>
        <w:t>possible</w:t>
      </w:r>
      <w:r w:rsidR="00B3568F" w:rsidRPr="00B3568F">
        <w:rPr>
          <w:rFonts w:cs="Calibri"/>
        </w:rPr>
        <w:t xml:space="preserve"> </w:t>
      </w:r>
      <w:r w:rsidR="005933FD" w:rsidRPr="00F07AFA">
        <w:rPr>
          <w:rFonts w:cs="Calibri"/>
        </w:rPr>
        <w:t xml:space="preserve">underlying </w:t>
      </w:r>
      <w:r w:rsidRPr="00B3568F">
        <w:rPr>
          <w:rFonts w:cs="Calibri"/>
        </w:rPr>
        <w:t>systemat</w:t>
      </w:r>
      <w:r w:rsidR="0061528A" w:rsidRPr="00B3568F">
        <w:rPr>
          <w:rFonts w:cs="Calibri"/>
        </w:rPr>
        <w:t>ic issues</w:t>
      </w:r>
      <w:r w:rsidR="0028769C" w:rsidRPr="00B3568F">
        <w:rPr>
          <w:rFonts w:cs="Calibri"/>
        </w:rPr>
        <w:t>.</w:t>
      </w:r>
      <w:r w:rsidR="0028769C" w:rsidRPr="00DB6FFF">
        <w:rPr>
          <w:rFonts w:cs="Calibri"/>
        </w:rPr>
        <w:t xml:space="preserve"> </w:t>
      </w:r>
      <w:r w:rsidRPr="00DB6FFF">
        <w:rPr>
          <w:rFonts w:cs="Calibri"/>
        </w:rPr>
        <w:t xml:space="preserve">Thus, </w:t>
      </w:r>
      <w:r w:rsidR="00B44253" w:rsidRPr="00DB6FFF">
        <w:rPr>
          <w:rFonts w:cs="Calibri"/>
        </w:rPr>
        <w:t>employees</w:t>
      </w:r>
      <w:r w:rsidR="007A1474">
        <w:rPr>
          <w:rFonts w:cs="Calibri"/>
        </w:rPr>
        <w:t xml:space="preserve"> may</w:t>
      </w:r>
      <w:r w:rsidR="00B3568F">
        <w:rPr>
          <w:rFonts w:cs="Calibri"/>
        </w:rPr>
        <w:t xml:space="preserve"> </w:t>
      </w:r>
      <w:r w:rsidR="00F70ED8">
        <w:rPr>
          <w:rFonts w:cs="Calibri"/>
        </w:rPr>
        <w:t>rightly</w:t>
      </w:r>
      <w:r w:rsidR="00B44253" w:rsidRPr="00DB6FFF">
        <w:rPr>
          <w:rFonts w:cs="Calibri"/>
        </w:rPr>
        <w:t xml:space="preserve"> fear </w:t>
      </w:r>
      <w:r w:rsidR="00B3568F" w:rsidRPr="00DB6FFF">
        <w:rPr>
          <w:rFonts w:cs="Calibri"/>
        </w:rPr>
        <w:t xml:space="preserve">disciplinary action </w:t>
      </w:r>
      <w:r w:rsidR="00B3568F">
        <w:rPr>
          <w:rFonts w:cs="Calibri"/>
        </w:rPr>
        <w:t>or some other form of reprisal</w:t>
      </w:r>
      <w:r w:rsidR="00B3568F" w:rsidRPr="00DB6FFF" w:rsidDel="007A1474">
        <w:rPr>
          <w:rFonts w:cs="Calibri"/>
        </w:rPr>
        <w:t xml:space="preserve"> </w:t>
      </w:r>
      <w:r w:rsidR="00B3568F">
        <w:rPr>
          <w:rFonts w:cs="Calibri"/>
        </w:rPr>
        <w:t>from</w:t>
      </w:r>
      <w:r w:rsidR="002C7E22" w:rsidRPr="00DB6FFF">
        <w:rPr>
          <w:rFonts w:cs="Calibri"/>
        </w:rPr>
        <w:t xml:space="preserve"> a rail transit a</w:t>
      </w:r>
      <w:r w:rsidRPr="00DB6FFF">
        <w:rPr>
          <w:rFonts w:cs="Calibri"/>
        </w:rPr>
        <w:t xml:space="preserve">gency (RTA) </w:t>
      </w:r>
      <w:r w:rsidR="00B3568F">
        <w:rPr>
          <w:rFonts w:cs="Calibri"/>
        </w:rPr>
        <w:t>for</w:t>
      </w:r>
      <w:r w:rsidR="0028769C" w:rsidRPr="00DB6FFF">
        <w:rPr>
          <w:rFonts w:cs="Calibri"/>
        </w:rPr>
        <w:t xml:space="preserve"> report</w:t>
      </w:r>
      <w:r w:rsidR="00B3568F">
        <w:rPr>
          <w:rFonts w:cs="Calibri"/>
        </w:rPr>
        <w:t>ing</w:t>
      </w:r>
      <w:r w:rsidR="0028769C" w:rsidRPr="00DB6FFF">
        <w:rPr>
          <w:rFonts w:cs="Calibri"/>
        </w:rPr>
        <w:t xml:space="preserve"> a close call</w:t>
      </w:r>
      <w:r w:rsidR="0053043A">
        <w:rPr>
          <w:rFonts w:cs="Calibri"/>
        </w:rPr>
        <w:t xml:space="preserve"> event</w:t>
      </w:r>
      <w:r w:rsidR="007A1474">
        <w:rPr>
          <w:rFonts w:cs="Calibri"/>
        </w:rPr>
        <w:t>,</w:t>
      </w:r>
      <w:r w:rsidR="003C1F4B" w:rsidRPr="00DB6FFF">
        <w:rPr>
          <w:rFonts w:cs="Calibri"/>
        </w:rPr>
        <w:t xml:space="preserve"> </w:t>
      </w:r>
      <w:r w:rsidR="007A1474">
        <w:rPr>
          <w:rFonts w:cs="Calibri"/>
        </w:rPr>
        <w:t>t</w:t>
      </w:r>
      <w:r w:rsidR="00B3568F">
        <w:rPr>
          <w:rFonts w:cs="Calibri"/>
        </w:rPr>
        <w:t>h</w:t>
      </w:r>
      <w:r w:rsidR="007A1474">
        <w:rPr>
          <w:rFonts w:cs="Calibri"/>
        </w:rPr>
        <w:t>us</w:t>
      </w:r>
      <w:r w:rsidR="007A1474" w:rsidRPr="00DB6FFF">
        <w:rPr>
          <w:rFonts w:cs="Calibri"/>
        </w:rPr>
        <w:t xml:space="preserve"> </w:t>
      </w:r>
      <w:r w:rsidR="003C1F4B" w:rsidRPr="00DB6FFF">
        <w:rPr>
          <w:rFonts w:cs="Calibri"/>
        </w:rPr>
        <w:t>creat</w:t>
      </w:r>
      <w:r w:rsidR="007A1474">
        <w:rPr>
          <w:rFonts w:cs="Calibri"/>
        </w:rPr>
        <w:t>ing</w:t>
      </w:r>
      <w:r w:rsidR="003C1F4B" w:rsidRPr="00DB6FFF">
        <w:rPr>
          <w:rFonts w:cs="Calibri"/>
        </w:rPr>
        <w:t xml:space="preserve"> a strong disincentive for individuals to report </w:t>
      </w:r>
      <w:r w:rsidR="007C60D1">
        <w:rPr>
          <w:rFonts w:cs="Calibri"/>
        </w:rPr>
        <w:t xml:space="preserve">close calls or other </w:t>
      </w:r>
      <w:r w:rsidRPr="00DB6FFF">
        <w:rPr>
          <w:rFonts w:cs="Calibri"/>
        </w:rPr>
        <w:t xml:space="preserve">potential safety </w:t>
      </w:r>
      <w:r w:rsidR="007C60D1">
        <w:rPr>
          <w:rFonts w:cs="Calibri"/>
        </w:rPr>
        <w:t>concerns</w:t>
      </w:r>
      <w:r w:rsidRPr="00DB6FFF">
        <w:rPr>
          <w:rFonts w:cs="Calibri"/>
        </w:rPr>
        <w:t xml:space="preserve">. </w:t>
      </w:r>
      <w:r w:rsidR="00CB20B7">
        <w:rPr>
          <w:rFonts w:cs="Calibri"/>
        </w:rPr>
        <w:t>T</w:t>
      </w:r>
      <w:r w:rsidR="00B44253" w:rsidRPr="00DB6FFF">
        <w:rPr>
          <w:rFonts w:cs="Calibri"/>
        </w:rPr>
        <w:t>his lack of trust b</w:t>
      </w:r>
      <w:r w:rsidR="003D7071">
        <w:rPr>
          <w:rFonts w:cs="Calibri"/>
        </w:rPr>
        <w:t xml:space="preserve">etween front-line employees and their supervisors and </w:t>
      </w:r>
      <w:r w:rsidR="00B44253" w:rsidRPr="00DB6FFF">
        <w:rPr>
          <w:rFonts w:cs="Calibri"/>
        </w:rPr>
        <w:t xml:space="preserve">management often </w:t>
      </w:r>
      <w:r w:rsidR="00F70ED8">
        <w:rPr>
          <w:rFonts w:cs="Calibri"/>
        </w:rPr>
        <w:t>leads</w:t>
      </w:r>
      <w:r w:rsidR="00F70ED8" w:rsidRPr="00DB6FFF">
        <w:rPr>
          <w:rFonts w:cs="Calibri"/>
        </w:rPr>
        <w:t xml:space="preserve"> </w:t>
      </w:r>
      <w:r w:rsidR="00F70ED8">
        <w:rPr>
          <w:rFonts w:cs="Calibri"/>
        </w:rPr>
        <w:t>to</w:t>
      </w:r>
      <w:r w:rsidR="00F70ED8" w:rsidRPr="00DB6FFF">
        <w:rPr>
          <w:rFonts w:cs="Calibri"/>
        </w:rPr>
        <w:t xml:space="preserve"> </w:t>
      </w:r>
      <w:r w:rsidR="007C7720" w:rsidRPr="00DB6FFF">
        <w:rPr>
          <w:rFonts w:cs="Calibri"/>
        </w:rPr>
        <w:t xml:space="preserve">essential </w:t>
      </w:r>
      <w:r w:rsidR="00AB3DDA" w:rsidRPr="00DB6FFF">
        <w:rPr>
          <w:rFonts w:cs="Calibri"/>
        </w:rPr>
        <w:t xml:space="preserve">information </w:t>
      </w:r>
      <w:r w:rsidR="00F70ED8">
        <w:rPr>
          <w:rFonts w:cs="Calibri"/>
        </w:rPr>
        <w:t>going</w:t>
      </w:r>
      <w:r w:rsidR="002C7E22" w:rsidRPr="00DB6FFF">
        <w:rPr>
          <w:rFonts w:cs="Calibri"/>
        </w:rPr>
        <w:t xml:space="preserve"> unreported.</w:t>
      </w:r>
    </w:p>
    <w:p w:rsidR="00E8200E" w:rsidRDefault="003C1F4B" w:rsidP="007F2CED">
      <w:pPr>
        <w:pStyle w:val="NoSpacing"/>
        <w:spacing w:line="276" w:lineRule="auto"/>
        <w:rPr>
          <w:rFonts w:cs="Calibri"/>
        </w:rPr>
      </w:pPr>
      <w:r w:rsidRPr="00DB6FFF">
        <w:rPr>
          <w:rFonts w:cs="Calibri"/>
        </w:rPr>
        <w:t xml:space="preserve">This </w:t>
      </w:r>
      <w:r w:rsidR="00B86A89">
        <w:rPr>
          <w:rFonts w:cs="Calibri"/>
        </w:rPr>
        <w:t>report</w:t>
      </w:r>
      <w:r w:rsidR="00B86A89" w:rsidRPr="00DB6FFF">
        <w:rPr>
          <w:rFonts w:cs="Calibri"/>
        </w:rPr>
        <w:t xml:space="preserve"> </w:t>
      </w:r>
      <w:r w:rsidRPr="00DB6FFF">
        <w:rPr>
          <w:rFonts w:cs="Calibri"/>
        </w:rPr>
        <w:t>will show that in existing confidential, non-punitive</w:t>
      </w:r>
      <w:r w:rsidR="006760DE">
        <w:rPr>
          <w:rFonts w:cs="Calibri"/>
        </w:rPr>
        <w:t xml:space="preserve">, </w:t>
      </w:r>
      <w:r w:rsidR="008D7209">
        <w:rPr>
          <w:rFonts w:cs="Calibri"/>
        </w:rPr>
        <w:t>close call</w:t>
      </w:r>
      <w:r w:rsidR="006760DE">
        <w:rPr>
          <w:rFonts w:cs="Calibri"/>
        </w:rPr>
        <w:t xml:space="preserve"> </w:t>
      </w:r>
      <w:r w:rsidR="00A43D6A">
        <w:rPr>
          <w:rFonts w:cs="Calibri"/>
        </w:rPr>
        <w:t xml:space="preserve">safety </w:t>
      </w:r>
      <w:r w:rsidR="006760DE">
        <w:rPr>
          <w:rFonts w:cs="Calibri"/>
        </w:rPr>
        <w:t>reporting</w:t>
      </w:r>
      <w:r w:rsidRPr="00DB6FFF">
        <w:rPr>
          <w:rFonts w:cs="Calibri"/>
        </w:rPr>
        <w:t xml:space="preserve"> systems</w:t>
      </w:r>
      <w:r w:rsidR="00E04304" w:rsidRPr="00DB6FFF">
        <w:rPr>
          <w:rFonts w:cs="Calibri"/>
        </w:rPr>
        <w:t>, employees</w:t>
      </w:r>
      <w:r w:rsidR="001A6C64">
        <w:rPr>
          <w:rFonts w:cs="Calibri"/>
        </w:rPr>
        <w:t xml:space="preserve"> and management </w:t>
      </w:r>
      <w:r w:rsidR="00517329">
        <w:rPr>
          <w:rFonts w:cs="Calibri"/>
        </w:rPr>
        <w:t xml:space="preserve">can </w:t>
      </w:r>
      <w:r w:rsidR="001A6C64">
        <w:rPr>
          <w:rFonts w:cs="Calibri"/>
        </w:rPr>
        <w:t xml:space="preserve">work collaboratively </w:t>
      </w:r>
      <w:r w:rsidR="00527DB1">
        <w:rPr>
          <w:rFonts w:cs="Calibri"/>
        </w:rPr>
        <w:t xml:space="preserve">by </w:t>
      </w:r>
      <w:r w:rsidR="00720FEA">
        <w:rPr>
          <w:rFonts w:cs="Calibri"/>
        </w:rPr>
        <w:t>implementing</w:t>
      </w:r>
      <w:r w:rsidR="00527DB1">
        <w:rPr>
          <w:rFonts w:cs="Calibri"/>
        </w:rPr>
        <w:t xml:space="preserve"> a</w:t>
      </w:r>
      <w:r w:rsidR="00720FEA">
        <w:rPr>
          <w:rFonts w:cs="Calibri"/>
        </w:rPr>
        <w:t xml:space="preserve"> memorandum of understanding (MOU)</w:t>
      </w:r>
      <w:r w:rsidR="00A33EB5">
        <w:rPr>
          <w:rFonts w:cs="Calibri"/>
        </w:rPr>
        <w:t>.</w:t>
      </w:r>
      <w:r w:rsidR="001A6C64">
        <w:rPr>
          <w:rFonts w:cs="Calibri"/>
        </w:rPr>
        <w:t xml:space="preserve"> </w:t>
      </w:r>
      <w:r w:rsidR="00A33EB5">
        <w:rPr>
          <w:rFonts w:cs="Calibri"/>
        </w:rPr>
        <w:t>A properly structured MOU can provide the framework for</w:t>
      </w:r>
      <w:r w:rsidR="007C60D1">
        <w:rPr>
          <w:rFonts w:cs="Calibri"/>
        </w:rPr>
        <w:t xml:space="preserve"> </w:t>
      </w:r>
      <w:r w:rsidR="00ED7317">
        <w:rPr>
          <w:rFonts w:cs="Calibri"/>
        </w:rPr>
        <w:t>facilitati</w:t>
      </w:r>
      <w:r w:rsidR="00B86A89">
        <w:rPr>
          <w:rFonts w:cs="Calibri"/>
        </w:rPr>
        <w:t>ng</w:t>
      </w:r>
      <w:r w:rsidR="00F70ED8">
        <w:rPr>
          <w:rFonts w:cs="Calibri"/>
        </w:rPr>
        <w:t xml:space="preserve"> </w:t>
      </w:r>
      <w:r w:rsidR="007C60D1">
        <w:rPr>
          <w:rFonts w:cs="Calibri"/>
        </w:rPr>
        <w:t xml:space="preserve">a just </w:t>
      </w:r>
      <w:r w:rsidR="007C60D1">
        <w:rPr>
          <w:rFonts w:cs="Calibri"/>
        </w:rPr>
        <w:lastRenderedPageBreak/>
        <w:t>safety culture that</w:t>
      </w:r>
      <w:r w:rsidR="001A6C64">
        <w:rPr>
          <w:rFonts w:cs="Calibri"/>
        </w:rPr>
        <w:t xml:space="preserve"> </w:t>
      </w:r>
      <w:r w:rsidRPr="00DB6FFF">
        <w:rPr>
          <w:rFonts w:cs="Calibri"/>
        </w:rPr>
        <w:t xml:space="preserve"> </w:t>
      </w:r>
      <w:r w:rsidR="00B86A89" w:rsidRPr="00DB6FFF">
        <w:rPr>
          <w:rFonts w:cs="Calibri"/>
        </w:rPr>
        <w:t xml:space="preserve"> </w:t>
      </w:r>
      <w:r w:rsidRPr="00DB6FFF">
        <w:rPr>
          <w:rFonts w:cs="Calibri"/>
        </w:rPr>
        <w:t>lead</w:t>
      </w:r>
      <w:r w:rsidR="00E31CED">
        <w:rPr>
          <w:rFonts w:cs="Calibri"/>
        </w:rPr>
        <w:t>s</w:t>
      </w:r>
      <w:r w:rsidRPr="00DB6FFF">
        <w:rPr>
          <w:rFonts w:cs="Calibri"/>
        </w:rPr>
        <w:t xml:space="preserve"> to safety improvements.</w:t>
      </w:r>
      <w:r w:rsidR="00E8200E">
        <w:rPr>
          <w:rFonts w:cs="Calibri"/>
        </w:rPr>
        <w:t xml:space="preserve"> The following statements illustrate the concept of a just safety culture:</w:t>
      </w:r>
    </w:p>
    <w:p w:rsidR="00E8200E" w:rsidRDefault="00E8200E" w:rsidP="00947533">
      <w:pPr>
        <w:pStyle w:val="NoSpacing"/>
        <w:ind w:left="720"/>
        <w:rPr>
          <w:rFonts w:cs="Calibri"/>
        </w:rPr>
      </w:pPr>
    </w:p>
    <w:p w:rsidR="00E8200E" w:rsidRDefault="00ED7317" w:rsidP="007F2CED">
      <w:pPr>
        <w:pStyle w:val="NoSpacing"/>
        <w:spacing w:line="276" w:lineRule="auto"/>
        <w:ind w:left="720"/>
      </w:pPr>
      <w:r>
        <w:rPr>
          <w:rFonts w:cs="Calibri"/>
        </w:rPr>
        <w:t>“</w:t>
      </w:r>
      <w:r w:rsidR="00A33EB5">
        <w:t xml:space="preserve">Getting people to report is about building trust: trust that the information provided in good faith will not be used against those who reported it. Such trust must be built in various ways. An important way is by structural (legal) arrangement. Making sure people have knowledge about the organizational and legal arrangements surrounding reporting is very important: disinclination to report is often related more to uncertainty about what </w:t>
      </w:r>
      <w:r w:rsidR="00A33EB5">
        <w:rPr>
          <w:i/>
        </w:rPr>
        <w:t>can</w:t>
      </w:r>
      <w:r w:rsidR="00A33EB5">
        <w:t xml:space="preserve"> happen with a report, than by any real fear about what </w:t>
      </w:r>
      <w:r w:rsidR="00A33EB5">
        <w:rPr>
          <w:i/>
        </w:rPr>
        <w:t>will</w:t>
      </w:r>
      <w:r w:rsidR="00A33EB5">
        <w:t xml:space="preserve"> happen.</w:t>
      </w:r>
      <w:r>
        <w:t>”</w:t>
      </w:r>
      <w:r w:rsidR="00A33EB5">
        <w:t xml:space="preserve"> </w:t>
      </w:r>
      <w:r w:rsidR="00A33EB5" w:rsidRPr="00A33EB5">
        <w:t>(</w:t>
      </w:r>
      <w:r w:rsidR="00A33EB5" w:rsidRPr="00947533">
        <w:t xml:space="preserve">Dekker, S.W.A. (2007). </w:t>
      </w:r>
      <w:r w:rsidR="00A33EB5" w:rsidRPr="00947533">
        <w:rPr>
          <w:i/>
        </w:rPr>
        <w:t xml:space="preserve">Just Culture: Balancing Safety and Accountability. </w:t>
      </w:r>
      <w:r w:rsidR="00070359" w:rsidRPr="00070359">
        <w:t>Lund University, Sweden</w:t>
      </w:r>
      <w:r w:rsidR="00070359">
        <w:t>,</w:t>
      </w:r>
      <w:r w:rsidR="00A33EB5" w:rsidRPr="00947533">
        <w:t xml:space="preserve"> Ashgate Publishing Co.</w:t>
      </w:r>
      <w:r w:rsidR="00A33EB5">
        <w:t xml:space="preserve"> p</w:t>
      </w:r>
      <w:r w:rsidR="00E8200E">
        <w:t>p</w:t>
      </w:r>
      <w:r w:rsidR="00A33EB5">
        <w:t xml:space="preserve">. </w:t>
      </w:r>
      <w:r w:rsidR="00A33EB5" w:rsidRPr="00A33EB5">
        <w:t>43-44)</w:t>
      </w:r>
      <w:r w:rsidR="00E8200E">
        <w:t>.</w:t>
      </w:r>
      <w:r w:rsidR="00A33EB5">
        <w:t xml:space="preserve"> </w:t>
      </w:r>
    </w:p>
    <w:p w:rsidR="00E8200E" w:rsidRDefault="00E8200E" w:rsidP="007F2CED">
      <w:pPr>
        <w:pStyle w:val="NoSpacing"/>
        <w:spacing w:line="276" w:lineRule="auto"/>
        <w:ind w:left="720"/>
      </w:pPr>
    </w:p>
    <w:p w:rsidR="00A33EB5" w:rsidRDefault="00ED7317" w:rsidP="007F2CED">
      <w:pPr>
        <w:pStyle w:val="NoSpacing"/>
        <w:spacing w:line="276" w:lineRule="auto"/>
        <w:ind w:left="720"/>
      </w:pPr>
      <w:r>
        <w:t>“</w:t>
      </w:r>
      <w:r w:rsidR="00A33EB5">
        <w:t>If an organization wants to encourage reporting, it may actually have to curtail disclosure. Reporters will step forward with information about honest mistakes only when they feel they have adequate protection against that information being misused or used against them. This can mean that reported information must somehow remain confidential, which rules out disclosures (at least of that exact information).</w:t>
      </w:r>
      <w:r>
        <w:t>”</w:t>
      </w:r>
      <w:r w:rsidR="00A33EB5">
        <w:t xml:space="preserve"> (</w:t>
      </w:r>
      <w:r w:rsidR="00F70ED8">
        <w:t>I</w:t>
      </w:r>
      <w:r w:rsidR="00070359">
        <w:t>bid</w:t>
      </w:r>
      <w:r w:rsidR="00F70ED8">
        <w:t>.</w:t>
      </w:r>
      <w:r w:rsidR="00070359">
        <w:t>,</w:t>
      </w:r>
      <w:r w:rsidR="00A33EB5">
        <w:t xml:space="preserve"> p</w:t>
      </w:r>
      <w:r w:rsidR="00E8200E">
        <w:t>.</w:t>
      </w:r>
      <w:r w:rsidR="00A33EB5">
        <w:t xml:space="preserve"> 48)  </w:t>
      </w:r>
    </w:p>
    <w:p w:rsidR="00A33EB5" w:rsidRDefault="00A33EB5" w:rsidP="004C37F6">
      <w:pPr>
        <w:spacing w:after="120"/>
        <w:rPr>
          <w:rFonts w:cs="Calibri"/>
        </w:rPr>
      </w:pPr>
    </w:p>
    <w:p w:rsidR="0028769C" w:rsidRPr="00DB6FFF" w:rsidRDefault="003C1F4B" w:rsidP="004C37F6">
      <w:pPr>
        <w:spacing w:after="120"/>
        <w:rPr>
          <w:rFonts w:cs="Calibri"/>
        </w:rPr>
      </w:pPr>
      <w:r w:rsidRPr="00DB6FFF">
        <w:rPr>
          <w:rFonts w:cs="Calibri"/>
        </w:rPr>
        <w:t>We find that there is strong potential for a confidential</w:t>
      </w:r>
      <w:r w:rsidR="00850D47" w:rsidRPr="00DB6FFF">
        <w:rPr>
          <w:rFonts w:cs="Calibri"/>
        </w:rPr>
        <w:t>, non-punitive,</w:t>
      </w:r>
      <w:r w:rsidR="005B1383">
        <w:rPr>
          <w:rFonts w:cs="Calibri"/>
        </w:rPr>
        <w:t xml:space="preserve"> </w:t>
      </w:r>
      <w:r w:rsidR="008D7209">
        <w:rPr>
          <w:rFonts w:cs="Calibri"/>
        </w:rPr>
        <w:t>close call</w:t>
      </w:r>
      <w:r w:rsidR="005B1383">
        <w:rPr>
          <w:rFonts w:cs="Calibri"/>
        </w:rPr>
        <w:t xml:space="preserve"> </w:t>
      </w:r>
      <w:r w:rsidR="00A43D6A">
        <w:rPr>
          <w:rFonts w:cs="Calibri"/>
        </w:rPr>
        <w:t xml:space="preserve">safety </w:t>
      </w:r>
      <w:r w:rsidR="005B1383">
        <w:rPr>
          <w:rFonts w:cs="Calibri"/>
        </w:rPr>
        <w:t>reporting</w:t>
      </w:r>
      <w:r w:rsidRPr="00DB6FFF">
        <w:rPr>
          <w:rFonts w:cs="Calibri"/>
        </w:rPr>
        <w:t xml:space="preserve"> system to build trust between labor and management and to help establish a </w:t>
      </w:r>
      <w:r w:rsidR="00904EF4">
        <w:rPr>
          <w:rFonts w:cs="Calibri"/>
        </w:rPr>
        <w:t>just</w:t>
      </w:r>
      <w:r w:rsidR="00904EF4" w:rsidRPr="00DB6FFF">
        <w:rPr>
          <w:rFonts w:cs="Calibri"/>
        </w:rPr>
        <w:t xml:space="preserve"> </w:t>
      </w:r>
      <w:r w:rsidRPr="00DB6FFF">
        <w:rPr>
          <w:rFonts w:cs="Calibri"/>
        </w:rPr>
        <w:t>safety culture throughout a rail transit enterprise.</w:t>
      </w:r>
      <w:r w:rsidR="00044FA6" w:rsidRPr="00DB6FFF">
        <w:rPr>
          <w:rFonts w:cs="Calibri"/>
        </w:rPr>
        <w:t xml:space="preserve"> </w:t>
      </w:r>
      <w:r w:rsidR="007A1474">
        <w:rPr>
          <w:rFonts w:cs="Calibri"/>
        </w:rPr>
        <w:t>E</w:t>
      </w:r>
      <w:r w:rsidR="00044FA6" w:rsidRPr="00DB6FFF">
        <w:rPr>
          <w:rFonts w:cs="Calibri"/>
        </w:rPr>
        <w:t>stablish</w:t>
      </w:r>
      <w:r w:rsidR="007A1474">
        <w:rPr>
          <w:rFonts w:cs="Calibri"/>
        </w:rPr>
        <w:t xml:space="preserve">ing </w:t>
      </w:r>
      <w:r w:rsidR="00044FA6" w:rsidRPr="00DB6FFF">
        <w:rPr>
          <w:rFonts w:cs="Calibri"/>
        </w:rPr>
        <w:t>a robust safety culture where all stakeholders work together to continually improve safety is the ultimate goal of a confidential, non-punitive</w:t>
      </w:r>
      <w:r w:rsidR="005B1383">
        <w:rPr>
          <w:rFonts w:cs="Calibri"/>
        </w:rPr>
        <w:t xml:space="preserve">, </w:t>
      </w:r>
      <w:r w:rsidR="008D7209">
        <w:rPr>
          <w:rFonts w:cs="Calibri"/>
        </w:rPr>
        <w:t>close call</w:t>
      </w:r>
      <w:r w:rsidR="005B1383">
        <w:rPr>
          <w:rFonts w:cs="Calibri"/>
        </w:rPr>
        <w:t xml:space="preserve"> </w:t>
      </w:r>
      <w:r w:rsidR="00A43D6A">
        <w:rPr>
          <w:rFonts w:cs="Calibri"/>
        </w:rPr>
        <w:t xml:space="preserve">safety </w:t>
      </w:r>
      <w:r w:rsidR="005B1383">
        <w:rPr>
          <w:rFonts w:cs="Calibri"/>
        </w:rPr>
        <w:t>reporting</w:t>
      </w:r>
      <w:r w:rsidR="00044FA6" w:rsidRPr="00DB6FFF">
        <w:rPr>
          <w:rFonts w:cs="Calibri"/>
        </w:rPr>
        <w:t xml:space="preserve"> system. </w:t>
      </w:r>
    </w:p>
    <w:p w:rsidR="00D32AF5" w:rsidRDefault="00BD5372" w:rsidP="004C37F6">
      <w:pPr>
        <w:spacing w:after="120"/>
        <w:rPr>
          <w:rFonts w:cs="Calibri"/>
        </w:rPr>
      </w:pPr>
      <w:r w:rsidRPr="00DB6FFF">
        <w:rPr>
          <w:rFonts w:cs="Calibri"/>
        </w:rPr>
        <w:t xml:space="preserve">Existing </w:t>
      </w:r>
      <w:r w:rsidR="00562A09">
        <w:rPr>
          <w:rFonts w:cs="Calibri"/>
        </w:rPr>
        <w:t>F</w:t>
      </w:r>
      <w:r w:rsidRPr="00DB6FFF">
        <w:rPr>
          <w:rFonts w:cs="Calibri"/>
        </w:rPr>
        <w:t>ederal safety regulation of the rail transit industry is primarily enforced through state safety oversight organization</w:t>
      </w:r>
      <w:r w:rsidR="004C31A6">
        <w:rPr>
          <w:rFonts w:cs="Calibri"/>
        </w:rPr>
        <w:t>s</w:t>
      </w:r>
      <w:r w:rsidR="00562A09">
        <w:rPr>
          <w:rFonts w:cs="Calibri"/>
        </w:rPr>
        <w:t xml:space="preserve"> </w:t>
      </w:r>
      <w:r w:rsidR="00562A09" w:rsidRPr="00DB6FFF">
        <w:rPr>
          <w:rFonts w:cs="Calibri"/>
        </w:rPr>
        <w:t>(SSO)</w:t>
      </w:r>
      <w:r w:rsidR="004C31A6">
        <w:rPr>
          <w:rFonts w:cs="Calibri"/>
        </w:rPr>
        <w:t>, which are controlled at the S</w:t>
      </w:r>
      <w:r w:rsidRPr="00DB6FFF">
        <w:rPr>
          <w:rFonts w:cs="Calibri"/>
        </w:rPr>
        <w:t xml:space="preserve">tate level. </w:t>
      </w:r>
      <w:r w:rsidR="00D32AF5">
        <w:rPr>
          <w:rFonts w:cs="Calibri"/>
        </w:rPr>
        <w:t>For the rail transit mode, each</w:t>
      </w:r>
      <w:r w:rsidR="00D32AF5" w:rsidRPr="00DB6FFF">
        <w:rPr>
          <w:rFonts w:cs="Calibri"/>
        </w:rPr>
        <w:t xml:space="preserve"> SSO </w:t>
      </w:r>
      <w:r w:rsidR="00D32AF5">
        <w:rPr>
          <w:rFonts w:cs="Calibri"/>
        </w:rPr>
        <w:t>is responsible fo</w:t>
      </w:r>
      <w:r w:rsidR="007E183E">
        <w:rPr>
          <w:rFonts w:cs="Calibri"/>
        </w:rPr>
        <w:t>r overseeing safety within its</w:t>
      </w:r>
      <w:r w:rsidR="00D32AF5">
        <w:rPr>
          <w:rFonts w:cs="Calibri"/>
        </w:rPr>
        <w:t xml:space="preserve"> State, which results in varying degrees of enforcement and sophistication.</w:t>
      </w:r>
      <w:r w:rsidR="00D32AF5" w:rsidRPr="00DB6FFF">
        <w:rPr>
          <w:rFonts w:cs="Calibri"/>
        </w:rPr>
        <w:t xml:space="preserve"> </w:t>
      </w:r>
      <w:r w:rsidRPr="00DB6FFF">
        <w:rPr>
          <w:rFonts w:cs="Calibri"/>
        </w:rPr>
        <w:t>While we find that the SSO role is important and necessary</w:t>
      </w:r>
      <w:r w:rsidR="000E56BB" w:rsidRPr="00DB6FFF">
        <w:rPr>
          <w:rFonts w:cs="Calibri"/>
        </w:rPr>
        <w:t>, w</w:t>
      </w:r>
      <w:r w:rsidRPr="00DB6FFF">
        <w:rPr>
          <w:rFonts w:cs="Calibri"/>
        </w:rPr>
        <w:t xml:space="preserve">e also find that the current structure and authority of </w:t>
      </w:r>
      <w:r w:rsidR="008A1ACB" w:rsidRPr="00DB6FFF">
        <w:rPr>
          <w:rFonts w:cs="Calibri"/>
        </w:rPr>
        <w:t xml:space="preserve">many </w:t>
      </w:r>
      <w:r w:rsidRPr="00DB6FFF">
        <w:rPr>
          <w:rFonts w:cs="Calibri"/>
        </w:rPr>
        <w:t>SSO</w:t>
      </w:r>
      <w:r w:rsidR="007A1474">
        <w:rPr>
          <w:rFonts w:cs="Calibri"/>
        </w:rPr>
        <w:t>s</w:t>
      </w:r>
      <w:r w:rsidR="00562A09">
        <w:rPr>
          <w:rFonts w:cs="Calibri"/>
        </w:rPr>
        <w:t xml:space="preserve"> </w:t>
      </w:r>
      <w:r w:rsidRPr="00DB6FFF">
        <w:rPr>
          <w:rFonts w:cs="Calibri"/>
        </w:rPr>
        <w:t>do</w:t>
      </w:r>
      <w:r w:rsidR="000F3D09" w:rsidRPr="00DB6FFF">
        <w:rPr>
          <w:rFonts w:cs="Calibri"/>
        </w:rPr>
        <w:t>es</w:t>
      </w:r>
      <w:r w:rsidRPr="00DB6FFF">
        <w:rPr>
          <w:rFonts w:cs="Calibri"/>
        </w:rPr>
        <w:t xml:space="preserve"> not sufficiently provide </w:t>
      </w:r>
      <w:r w:rsidR="002A29B6" w:rsidRPr="00DB6FFF">
        <w:rPr>
          <w:rFonts w:cs="Calibri"/>
        </w:rPr>
        <w:t>the resources need</w:t>
      </w:r>
      <w:r w:rsidR="002C7E22" w:rsidRPr="00DB6FFF">
        <w:rPr>
          <w:rFonts w:cs="Calibri"/>
        </w:rPr>
        <w:t>ed</w:t>
      </w:r>
      <w:r w:rsidR="002A29B6" w:rsidRPr="00DB6FFF">
        <w:rPr>
          <w:rFonts w:cs="Calibri"/>
        </w:rPr>
        <w:t xml:space="preserve"> </w:t>
      </w:r>
      <w:r w:rsidRPr="00DB6FFF">
        <w:rPr>
          <w:rFonts w:cs="Calibri"/>
        </w:rPr>
        <w:t>for establish</w:t>
      </w:r>
      <w:r w:rsidR="007A1474">
        <w:rPr>
          <w:rFonts w:cs="Calibri"/>
        </w:rPr>
        <w:t>ing</w:t>
      </w:r>
      <w:r w:rsidRPr="00DB6FFF">
        <w:rPr>
          <w:rFonts w:cs="Calibri"/>
        </w:rPr>
        <w:t xml:space="preserve"> and maint</w:t>
      </w:r>
      <w:r w:rsidR="007A1474">
        <w:rPr>
          <w:rFonts w:cs="Calibri"/>
        </w:rPr>
        <w:t>aining</w:t>
      </w:r>
      <w:r w:rsidRPr="00DB6FFF">
        <w:rPr>
          <w:rFonts w:cs="Calibri"/>
        </w:rPr>
        <w:t xml:space="preserve"> a </w:t>
      </w:r>
      <w:r w:rsidR="002C7E22" w:rsidRPr="00DB6FFF">
        <w:rPr>
          <w:rFonts w:cs="Calibri"/>
        </w:rPr>
        <w:t xml:space="preserve">confidential, non-punitive </w:t>
      </w:r>
      <w:r w:rsidR="008D7209">
        <w:rPr>
          <w:rFonts w:cs="Calibri"/>
        </w:rPr>
        <w:t>close call</w:t>
      </w:r>
      <w:r w:rsidR="005B1383">
        <w:rPr>
          <w:rFonts w:cs="Calibri"/>
        </w:rPr>
        <w:t xml:space="preserve"> </w:t>
      </w:r>
      <w:r w:rsidR="00C17469">
        <w:rPr>
          <w:rFonts w:cs="Calibri"/>
        </w:rPr>
        <w:t xml:space="preserve">safety </w:t>
      </w:r>
      <w:r w:rsidRPr="00DB6FFF">
        <w:rPr>
          <w:rFonts w:cs="Calibri"/>
        </w:rPr>
        <w:t xml:space="preserve">reporting system. </w:t>
      </w:r>
    </w:p>
    <w:p w:rsidR="00BD5372" w:rsidRPr="00DB6FFF" w:rsidRDefault="00BD5372" w:rsidP="004C37F6">
      <w:pPr>
        <w:spacing w:after="120"/>
        <w:rPr>
          <w:rFonts w:cs="Calibri"/>
        </w:rPr>
      </w:pPr>
      <w:r w:rsidRPr="00DB6FFF">
        <w:rPr>
          <w:rFonts w:cs="Calibri"/>
        </w:rPr>
        <w:t xml:space="preserve">Existing </w:t>
      </w:r>
      <w:r w:rsidR="002C7E22" w:rsidRPr="00DB6FFF">
        <w:rPr>
          <w:rFonts w:cs="Calibri"/>
        </w:rPr>
        <w:t xml:space="preserve">similar </w:t>
      </w:r>
      <w:r w:rsidRPr="00DB6FFF">
        <w:rPr>
          <w:rFonts w:cs="Calibri"/>
        </w:rPr>
        <w:t xml:space="preserve">reporting systems </w:t>
      </w:r>
      <w:r w:rsidR="005B1383">
        <w:rPr>
          <w:rFonts w:cs="Calibri"/>
        </w:rPr>
        <w:t>employ</w:t>
      </w:r>
      <w:r w:rsidR="005B1383" w:rsidRPr="00DB6FFF">
        <w:rPr>
          <w:rFonts w:cs="Calibri"/>
        </w:rPr>
        <w:t xml:space="preserve"> </w:t>
      </w:r>
      <w:r w:rsidRPr="00DB6FFF">
        <w:rPr>
          <w:rFonts w:cs="Calibri"/>
        </w:rPr>
        <w:t>a</w:t>
      </w:r>
      <w:r w:rsidR="002C41ED">
        <w:rPr>
          <w:rFonts w:cs="Calibri"/>
        </w:rPr>
        <w:t xml:space="preserve"> </w:t>
      </w:r>
      <w:r w:rsidR="00E85A8C">
        <w:rPr>
          <w:rFonts w:cs="Calibri"/>
        </w:rPr>
        <w:t>n</w:t>
      </w:r>
      <w:r w:rsidR="002C41ED">
        <w:rPr>
          <w:rFonts w:cs="Calibri"/>
        </w:rPr>
        <w:t xml:space="preserve">on-regulatory, </w:t>
      </w:r>
      <w:r w:rsidR="008A1ACB" w:rsidRPr="00DB6FFF">
        <w:rPr>
          <w:rFonts w:cs="Calibri"/>
        </w:rPr>
        <w:t xml:space="preserve">independent </w:t>
      </w:r>
      <w:r w:rsidR="000F3D09" w:rsidRPr="00DB6FFF">
        <w:rPr>
          <w:rFonts w:cs="Calibri"/>
        </w:rPr>
        <w:t>third-</w:t>
      </w:r>
      <w:r w:rsidR="008A1ACB" w:rsidRPr="00DB6FFF">
        <w:rPr>
          <w:rFonts w:cs="Calibri"/>
        </w:rPr>
        <w:t xml:space="preserve">party </w:t>
      </w:r>
      <w:r w:rsidR="000F3D09" w:rsidRPr="00DB6FFF">
        <w:rPr>
          <w:rFonts w:cs="Calibri"/>
        </w:rPr>
        <w:t>agency</w:t>
      </w:r>
      <w:r w:rsidR="002C41ED">
        <w:rPr>
          <w:rFonts w:cs="Calibri"/>
        </w:rPr>
        <w:t>,</w:t>
      </w:r>
      <w:r w:rsidR="000F3D09" w:rsidRPr="00DB6FFF">
        <w:rPr>
          <w:rFonts w:cs="Calibri"/>
        </w:rPr>
        <w:t xml:space="preserve"> </w:t>
      </w:r>
      <w:r w:rsidR="002C41ED">
        <w:rPr>
          <w:rFonts w:cs="Calibri"/>
        </w:rPr>
        <w:t xml:space="preserve">representing the specific transportation mode on a national scale, </w:t>
      </w:r>
      <w:r w:rsidR="008A1ACB" w:rsidRPr="00DB6FFF">
        <w:rPr>
          <w:rFonts w:cs="Calibri"/>
        </w:rPr>
        <w:t>to provide the</w:t>
      </w:r>
      <w:r w:rsidRPr="00DB6FFF">
        <w:rPr>
          <w:rFonts w:cs="Calibri"/>
        </w:rPr>
        <w:t xml:space="preserve"> assurance</w:t>
      </w:r>
      <w:r w:rsidR="008A1ACB" w:rsidRPr="00DB6FFF">
        <w:rPr>
          <w:rFonts w:cs="Calibri"/>
        </w:rPr>
        <w:t>s</w:t>
      </w:r>
      <w:r w:rsidRPr="00DB6FFF">
        <w:rPr>
          <w:rFonts w:cs="Calibri"/>
        </w:rPr>
        <w:t xml:space="preserve"> of confidentiality to reporting employees</w:t>
      </w:r>
      <w:r w:rsidR="00D32AF5">
        <w:rPr>
          <w:rFonts w:cs="Calibri"/>
        </w:rPr>
        <w:t xml:space="preserve">. </w:t>
      </w:r>
      <w:r w:rsidR="00C33C7C">
        <w:rPr>
          <w:rFonts w:cs="Calibri"/>
        </w:rPr>
        <w:t>Likewise</w:t>
      </w:r>
      <w:r w:rsidRPr="00DB6FFF">
        <w:rPr>
          <w:rFonts w:cs="Calibri"/>
        </w:rPr>
        <w:t xml:space="preserve">, this </w:t>
      </w:r>
      <w:r w:rsidR="00FD6A30">
        <w:rPr>
          <w:rFonts w:cs="Calibri"/>
        </w:rPr>
        <w:t>report</w:t>
      </w:r>
      <w:r w:rsidR="00FD6A30" w:rsidRPr="00DB6FFF">
        <w:rPr>
          <w:rFonts w:cs="Calibri"/>
        </w:rPr>
        <w:t xml:space="preserve"> </w:t>
      </w:r>
      <w:r w:rsidR="00CA21BD">
        <w:rPr>
          <w:rFonts w:cs="Calibri"/>
        </w:rPr>
        <w:t>proposes</w:t>
      </w:r>
      <w:r w:rsidRPr="00DB6FFF">
        <w:rPr>
          <w:rFonts w:cs="Calibri"/>
        </w:rPr>
        <w:t xml:space="preserve"> </w:t>
      </w:r>
      <w:r w:rsidR="00562A09">
        <w:rPr>
          <w:rFonts w:cs="Calibri"/>
        </w:rPr>
        <w:t xml:space="preserve">that </w:t>
      </w:r>
      <w:r w:rsidR="005A5D6F" w:rsidRPr="00DB6FFF">
        <w:rPr>
          <w:rFonts w:cs="Calibri"/>
        </w:rPr>
        <w:t>a</w:t>
      </w:r>
      <w:r w:rsidR="00720FEA">
        <w:rPr>
          <w:rFonts w:cs="Calibri"/>
        </w:rPr>
        <w:t>n</w:t>
      </w:r>
      <w:r w:rsidR="00B10D64">
        <w:rPr>
          <w:rFonts w:cs="Calibri"/>
        </w:rPr>
        <w:t xml:space="preserve"> </w:t>
      </w:r>
      <w:r w:rsidR="000E56BB" w:rsidRPr="00DB6FFF">
        <w:rPr>
          <w:rFonts w:cs="Calibri"/>
        </w:rPr>
        <w:t xml:space="preserve">independent </w:t>
      </w:r>
      <w:r w:rsidRPr="00DB6FFF">
        <w:rPr>
          <w:rFonts w:cs="Calibri"/>
        </w:rPr>
        <w:t>third</w:t>
      </w:r>
      <w:r w:rsidR="00113865">
        <w:rPr>
          <w:rFonts w:cs="Calibri"/>
        </w:rPr>
        <w:t xml:space="preserve"> </w:t>
      </w:r>
      <w:r w:rsidRPr="00DB6FFF">
        <w:rPr>
          <w:rFonts w:cs="Calibri"/>
        </w:rPr>
        <w:t>party administ</w:t>
      </w:r>
      <w:r w:rsidR="00F70ED8">
        <w:rPr>
          <w:rFonts w:cs="Calibri"/>
        </w:rPr>
        <w:t>er</w:t>
      </w:r>
      <w:r w:rsidR="0028769C" w:rsidRPr="00DB6FFF">
        <w:rPr>
          <w:rFonts w:cs="Calibri"/>
        </w:rPr>
        <w:t xml:space="preserve"> a </w:t>
      </w:r>
      <w:r w:rsidR="00850D47" w:rsidRPr="00DB6FFF">
        <w:rPr>
          <w:rFonts w:cs="Calibri"/>
        </w:rPr>
        <w:t xml:space="preserve">confidential, non-punitive, </w:t>
      </w:r>
      <w:r w:rsidR="008D7209">
        <w:rPr>
          <w:rFonts w:cs="Calibri"/>
        </w:rPr>
        <w:t>close call</w:t>
      </w:r>
      <w:r w:rsidR="0028769C" w:rsidRPr="00DB6FFF">
        <w:rPr>
          <w:rFonts w:cs="Calibri"/>
        </w:rPr>
        <w:t xml:space="preserve"> </w:t>
      </w:r>
      <w:r w:rsidR="00C17469">
        <w:rPr>
          <w:rFonts w:cs="Calibri"/>
        </w:rPr>
        <w:t xml:space="preserve">safety </w:t>
      </w:r>
      <w:r w:rsidR="0028769C" w:rsidRPr="00DB6FFF">
        <w:rPr>
          <w:rFonts w:cs="Calibri"/>
        </w:rPr>
        <w:t xml:space="preserve">reporting system, which would operate in partnership with </w:t>
      </w:r>
      <w:r w:rsidR="001A6C64">
        <w:rPr>
          <w:rFonts w:cs="Calibri"/>
        </w:rPr>
        <w:t xml:space="preserve">the </w:t>
      </w:r>
      <w:r w:rsidR="008A1ACB" w:rsidRPr="00DB6FFF">
        <w:rPr>
          <w:rFonts w:cs="Calibri"/>
        </w:rPr>
        <w:t>RTAs</w:t>
      </w:r>
      <w:r w:rsidR="00720FEA">
        <w:rPr>
          <w:rFonts w:cs="Calibri"/>
        </w:rPr>
        <w:t xml:space="preserve">, </w:t>
      </w:r>
      <w:r w:rsidR="007E183E">
        <w:rPr>
          <w:rFonts w:cs="Calibri"/>
        </w:rPr>
        <w:t>the Federal Transit Administration (</w:t>
      </w:r>
      <w:r w:rsidR="00720FEA">
        <w:rPr>
          <w:rFonts w:cs="Calibri"/>
        </w:rPr>
        <w:t>FTA</w:t>
      </w:r>
      <w:r w:rsidR="007E183E">
        <w:rPr>
          <w:rFonts w:cs="Calibri"/>
        </w:rPr>
        <w:t>)</w:t>
      </w:r>
      <w:r w:rsidR="00720FEA">
        <w:rPr>
          <w:rFonts w:cs="Calibri"/>
        </w:rPr>
        <w:t>,</w:t>
      </w:r>
      <w:r w:rsidR="008A1ACB" w:rsidRPr="00DB6FFF">
        <w:rPr>
          <w:rFonts w:cs="Calibri"/>
        </w:rPr>
        <w:t xml:space="preserve"> and potentially SSOs</w:t>
      </w:r>
      <w:r w:rsidR="004C31A6">
        <w:rPr>
          <w:rFonts w:cs="Calibri"/>
        </w:rPr>
        <w:t>,</w:t>
      </w:r>
      <w:r w:rsidR="00606A79">
        <w:rPr>
          <w:rFonts w:cs="Calibri"/>
        </w:rPr>
        <w:t xml:space="preserve"> and </w:t>
      </w:r>
      <w:r w:rsidR="006D67B7">
        <w:rPr>
          <w:rFonts w:cs="Calibri"/>
        </w:rPr>
        <w:t>which would disseminate</w:t>
      </w:r>
      <w:r w:rsidR="003040B8">
        <w:rPr>
          <w:rFonts w:cs="Calibri"/>
        </w:rPr>
        <w:t xml:space="preserve"> data and analysis on</w:t>
      </w:r>
      <w:r w:rsidR="006D67B7">
        <w:rPr>
          <w:rFonts w:cs="Calibri"/>
        </w:rPr>
        <w:t xml:space="preserve"> identified patterns and trends</w:t>
      </w:r>
      <w:r w:rsidR="001A6C64">
        <w:rPr>
          <w:rFonts w:cs="Calibri"/>
        </w:rPr>
        <w:t xml:space="preserve"> </w:t>
      </w:r>
      <w:r w:rsidR="006D67B7">
        <w:rPr>
          <w:rFonts w:cs="Calibri"/>
        </w:rPr>
        <w:t>throughout the rail transit industry</w:t>
      </w:r>
      <w:r w:rsidR="00562A09">
        <w:rPr>
          <w:rFonts w:cs="Calibri"/>
        </w:rPr>
        <w:t>,</w:t>
      </w:r>
      <w:r w:rsidR="001A6C64">
        <w:rPr>
          <w:rFonts w:cs="Calibri"/>
        </w:rPr>
        <w:t xml:space="preserve"> as appropriate</w:t>
      </w:r>
      <w:r w:rsidR="00606A79">
        <w:rPr>
          <w:rFonts w:cs="Calibri"/>
        </w:rPr>
        <w:t xml:space="preserve">. </w:t>
      </w:r>
      <w:r w:rsidR="00A86D08">
        <w:rPr>
          <w:rFonts w:cs="Calibri"/>
        </w:rPr>
        <w:t xml:space="preserve">Ideally, there would be </w:t>
      </w:r>
      <w:r w:rsidR="00594B8D">
        <w:rPr>
          <w:rFonts w:cs="Calibri"/>
        </w:rPr>
        <w:t>one</w:t>
      </w:r>
      <w:r w:rsidR="00562A09">
        <w:rPr>
          <w:rFonts w:cs="Calibri"/>
        </w:rPr>
        <w:t xml:space="preserve"> </w:t>
      </w:r>
      <w:r w:rsidR="00A86D08">
        <w:rPr>
          <w:rFonts w:cs="Calibri"/>
        </w:rPr>
        <w:t>third</w:t>
      </w:r>
      <w:r w:rsidR="00562A09">
        <w:rPr>
          <w:rFonts w:cs="Calibri"/>
        </w:rPr>
        <w:t>-</w:t>
      </w:r>
      <w:r w:rsidR="00A86D08">
        <w:rPr>
          <w:rFonts w:cs="Calibri"/>
        </w:rPr>
        <w:t xml:space="preserve">party administrator to </w:t>
      </w:r>
      <w:r w:rsidR="00562A09">
        <w:rPr>
          <w:rFonts w:cs="Calibri"/>
        </w:rPr>
        <w:t xml:space="preserve">ensure </w:t>
      </w:r>
      <w:r w:rsidR="00A86D08">
        <w:rPr>
          <w:rFonts w:cs="Calibri"/>
        </w:rPr>
        <w:t>con</w:t>
      </w:r>
      <w:r w:rsidR="00720FEA">
        <w:rPr>
          <w:rFonts w:cs="Calibri"/>
        </w:rPr>
        <w:t>sistency and comparability</w:t>
      </w:r>
      <w:r w:rsidR="00A86D08">
        <w:rPr>
          <w:rFonts w:cs="Calibri"/>
        </w:rPr>
        <w:t xml:space="preserve"> of data</w:t>
      </w:r>
      <w:r w:rsidR="00720FEA">
        <w:rPr>
          <w:rFonts w:cs="Calibri"/>
        </w:rPr>
        <w:t xml:space="preserve"> across transit systems</w:t>
      </w:r>
      <w:r w:rsidR="00A86D08">
        <w:rPr>
          <w:rFonts w:cs="Calibri"/>
        </w:rPr>
        <w:t xml:space="preserve">; however, </w:t>
      </w:r>
      <w:r w:rsidR="00FA624C">
        <w:rPr>
          <w:rFonts w:cs="Calibri"/>
        </w:rPr>
        <w:t xml:space="preserve">if </w:t>
      </w:r>
      <w:r w:rsidR="00A86D08">
        <w:rPr>
          <w:rFonts w:cs="Calibri"/>
        </w:rPr>
        <w:t>more than one third</w:t>
      </w:r>
      <w:r w:rsidR="007B2185">
        <w:rPr>
          <w:rFonts w:cs="Calibri"/>
        </w:rPr>
        <w:t>-</w:t>
      </w:r>
      <w:r w:rsidR="004B7AB9">
        <w:rPr>
          <w:rFonts w:cs="Calibri"/>
        </w:rPr>
        <w:t xml:space="preserve">party administrator </w:t>
      </w:r>
      <w:r w:rsidR="00562A09">
        <w:rPr>
          <w:rFonts w:cs="Calibri"/>
        </w:rPr>
        <w:t xml:space="preserve">is </w:t>
      </w:r>
      <w:r w:rsidR="00A86D08">
        <w:rPr>
          <w:rFonts w:cs="Calibri"/>
        </w:rPr>
        <w:t>used, i</w:t>
      </w:r>
      <w:r w:rsidR="004B7AB9">
        <w:rPr>
          <w:rFonts w:cs="Calibri"/>
        </w:rPr>
        <w:t>t would be</w:t>
      </w:r>
      <w:r w:rsidR="001A6C64">
        <w:rPr>
          <w:rFonts w:cs="Calibri"/>
        </w:rPr>
        <w:t xml:space="preserve"> important to assure that independent third</w:t>
      </w:r>
      <w:r w:rsidR="00562A09">
        <w:rPr>
          <w:rFonts w:cs="Calibri"/>
        </w:rPr>
        <w:t>-</w:t>
      </w:r>
      <w:r w:rsidR="001A6C64">
        <w:rPr>
          <w:rFonts w:cs="Calibri"/>
        </w:rPr>
        <w:t xml:space="preserve">party administrators compile data </w:t>
      </w:r>
      <w:r w:rsidR="001A6C64">
        <w:rPr>
          <w:rFonts w:cs="Calibri"/>
        </w:rPr>
        <w:lastRenderedPageBreak/>
        <w:t>uniform</w:t>
      </w:r>
      <w:r w:rsidR="00CB20B7">
        <w:rPr>
          <w:rFonts w:cs="Calibri"/>
        </w:rPr>
        <w:t>ly</w:t>
      </w:r>
      <w:r w:rsidR="001A6C64">
        <w:rPr>
          <w:rFonts w:cs="Calibri"/>
        </w:rPr>
        <w:t xml:space="preserve"> to allow </w:t>
      </w:r>
      <w:r w:rsidR="00CB20B7">
        <w:rPr>
          <w:rFonts w:cs="Calibri"/>
        </w:rPr>
        <w:t xml:space="preserve">for </w:t>
      </w:r>
      <w:r w:rsidR="001A6C64">
        <w:rPr>
          <w:rFonts w:cs="Calibri"/>
        </w:rPr>
        <w:t>the aggregation of national data</w:t>
      </w:r>
      <w:r w:rsidR="00720FEA">
        <w:rPr>
          <w:rFonts w:cs="Calibri"/>
        </w:rPr>
        <w:t>sets and trends</w:t>
      </w:r>
      <w:r w:rsidR="00C33C7C">
        <w:rPr>
          <w:rFonts w:cs="Calibri"/>
        </w:rPr>
        <w:t xml:space="preserve">. </w:t>
      </w:r>
      <w:r w:rsidR="00D85863">
        <w:rPr>
          <w:rFonts w:cs="Calibri"/>
        </w:rPr>
        <w:t xml:space="preserve">We </w:t>
      </w:r>
      <w:r w:rsidR="0053043A">
        <w:rPr>
          <w:rFonts w:cs="Calibri"/>
        </w:rPr>
        <w:t>recommend that</w:t>
      </w:r>
      <w:r w:rsidR="00D85863">
        <w:rPr>
          <w:rFonts w:cs="Calibri"/>
        </w:rPr>
        <w:t xml:space="preserve"> FTA lead </w:t>
      </w:r>
      <w:r w:rsidR="00F70ED8">
        <w:rPr>
          <w:rFonts w:cs="Calibri"/>
        </w:rPr>
        <w:t xml:space="preserve">this </w:t>
      </w:r>
      <w:r w:rsidR="00D85863">
        <w:rPr>
          <w:rFonts w:cs="Calibri"/>
        </w:rPr>
        <w:t xml:space="preserve">effort in cooperation with </w:t>
      </w:r>
      <w:r w:rsidR="00A17561">
        <w:rPr>
          <w:rFonts w:cs="Calibri"/>
        </w:rPr>
        <w:t xml:space="preserve">one or more </w:t>
      </w:r>
      <w:r w:rsidR="00D85863">
        <w:rPr>
          <w:rFonts w:cs="Calibri"/>
        </w:rPr>
        <w:t>third</w:t>
      </w:r>
      <w:r w:rsidR="00562A09">
        <w:rPr>
          <w:rFonts w:cs="Calibri"/>
        </w:rPr>
        <w:t>-</w:t>
      </w:r>
      <w:r w:rsidR="00D85863">
        <w:rPr>
          <w:rFonts w:cs="Calibri"/>
        </w:rPr>
        <w:t>party administrator</w:t>
      </w:r>
      <w:r w:rsidR="00F70ED8">
        <w:rPr>
          <w:rFonts w:cs="Calibri"/>
        </w:rPr>
        <w:t>(s)</w:t>
      </w:r>
      <w:r w:rsidR="00D85863">
        <w:rPr>
          <w:rFonts w:cs="Calibri"/>
        </w:rPr>
        <w:t xml:space="preserve">, to develop such a uniform format for aggregating data. </w:t>
      </w:r>
    </w:p>
    <w:p w:rsidR="00AC60C1" w:rsidRPr="00DB6FFF" w:rsidRDefault="00AC60C1" w:rsidP="004C37F6">
      <w:pPr>
        <w:spacing w:after="120"/>
        <w:rPr>
          <w:rFonts w:cs="Calibri"/>
        </w:rPr>
      </w:pPr>
      <w:r w:rsidRPr="00DB6FFF">
        <w:rPr>
          <w:rFonts w:cs="Calibri"/>
        </w:rPr>
        <w:t xml:space="preserve">This </w:t>
      </w:r>
      <w:r w:rsidR="00FD6A30">
        <w:rPr>
          <w:rFonts w:cs="Calibri"/>
        </w:rPr>
        <w:t>report</w:t>
      </w:r>
      <w:r w:rsidR="00FD6A30" w:rsidRPr="00DB6FFF">
        <w:rPr>
          <w:rFonts w:cs="Calibri"/>
        </w:rPr>
        <w:t xml:space="preserve"> </w:t>
      </w:r>
      <w:r w:rsidRPr="00DB6FFF">
        <w:rPr>
          <w:rFonts w:cs="Calibri"/>
        </w:rPr>
        <w:t xml:space="preserve">presents our </w:t>
      </w:r>
      <w:r w:rsidR="003C1F4B" w:rsidRPr="00DB6FFF">
        <w:rPr>
          <w:rFonts w:cs="Calibri"/>
        </w:rPr>
        <w:t>findings o</w:t>
      </w:r>
      <w:r w:rsidR="00F15F9B">
        <w:rPr>
          <w:rFonts w:cs="Calibri"/>
        </w:rPr>
        <w:t>n</w:t>
      </w:r>
      <w:r w:rsidRPr="00DB6FFF">
        <w:rPr>
          <w:rFonts w:cs="Calibri"/>
        </w:rPr>
        <w:t xml:space="preserve"> the </w:t>
      </w:r>
      <w:r w:rsidR="00BD5372" w:rsidRPr="00DB6FFF">
        <w:rPr>
          <w:rFonts w:cs="Calibri"/>
        </w:rPr>
        <w:t xml:space="preserve">principles and characteristics of existing reporting </w:t>
      </w:r>
      <w:r w:rsidRPr="00DB6FFF">
        <w:rPr>
          <w:rFonts w:cs="Calibri"/>
        </w:rPr>
        <w:t>models used by the Federal Aviation Administration (FAA) and the Federal Railroad Administration (FRA)</w:t>
      </w:r>
      <w:r w:rsidR="00BD5372" w:rsidRPr="00DB6FFF">
        <w:rPr>
          <w:rFonts w:cs="Calibri"/>
        </w:rPr>
        <w:t xml:space="preserve"> for </w:t>
      </w:r>
      <w:r w:rsidR="003C1F4B" w:rsidRPr="00DB6FFF">
        <w:rPr>
          <w:rFonts w:cs="Calibri"/>
        </w:rPr>
        <w:t xml:space="preserve">reporting, analyzing, and responding to </w:t>
      </w:r>
      <w:r w:rsidR="000F3D09" w:rsidRPr="00DB6FFF">
        <w:rPr>
          <w:rFonts w:cs="Calibri"/>
        </w:rPr>
        <w:t xml:space="preserve">reports of </w:t>
      </w:r>
      <w:r w:rsidR="005A5D6F" w:rsidRPr="00DB6FFF">
        <w:rPr>
          <w:rFonts w:cs="Calibri"/>
        </w:rPr>
        <w:t xml:space="preserve">safety </w:t>
      </w:r>
      <w:r w:rsidR="00904EF4">
        <w:rPr>
          <w:rFonts w:cs="Calibri"/>
        </w:rPr>
        <w:t>events</w:t>
      </w:r>
      <w:r w:rsidR="00904EF4" w:rsidRPr="00DB6FFF">
        <w:rPr>
          <w:rFonts w:cs="Calibri"/>
        </w:rPr>
        <w:t xml:space="preserve"> </w:t>
      </w:r>
      <w:r w:rsidR="005A5D6F" w:rsidRPr="00DB6FFF">
        <w:rPr>
          <w:rFonts w:cs="Calibri"/>
        </w:rPr>
        <w:t>and concerns</w:t>
      </w:r>
      <w:r w:rsidR="00594B8D">
        <w:rPr>
          <w:rFonts w:cs="Calibri"/>
        </w:rPr>
        <w:t>, summarized in Table 1</w:t>
      </w:r>
      <w:r w:rsidR="003C1F4B" w:rsidRPr="00DB6FFF">
        <w:rPr>
          <w:rFonts w:cs="Calibri"/>
        </w:rPr>
        <w:t xml:space="preserve">. Next, this </w:t>
      </w:r>
      <w:r w:rsidR="00FD6A30">
        <w:rPr>
          <w:rFonts w:cs="Calibri"/>
        </w:rPr>
        <w:t>report</w:t>
      </w:r>
      <w:r w:rsidR="00FD6A30" w:rsidRPr="00DB6FFF">
        <w:rPr>
          <w:rFonts w:cs="Calibri"/>
        </w:rPr>
        <w:t xml:space="preserve"> </w:t>
      </w:r>
      <w:r w:rsidR="003C1F4B" w:rsidRPr="00DB6FFF">
        <w:rPr>
          <w:rFonts w:cs="Calibri"/>
        </w:rPr>
        <w:t xml:space="preserve">provides a concept of operations for </w:t>
      </w:r>
      <w:r w:rsidR="00BD5372" w:rsidRPr="00DB6FFF">
        <w:rPr>
          <w:rFonts w:cs="Calibri"/>
        </w:rPr>
        <w:t>adapti</w:t>
      </w:r>
      <w:r w:rsidR="00562A09">
        <w:rPr>
          <w:rFonts w:cs="Calibri"/>
        </w:rPr>
        <w:t>ng</w:t>
      </w:r>
      <w:r w:rsidR="003C1F4B" w:rsidRPr="00DB6FFF">
        <w:rPr>
          <w:rFonts w:cs="Calibri"/>
        </w:rPr>
        <w:t xml:space="preserve"> existing models </w:t>
      </w:r>
      <w:r w:rsidR="00BD5372" w:rsidRPr="00DB6FFF">
        <w:rPr>
          <w:rFonts w:cs="Calibri"/>
        </w:rPr>
        <w:t>to the rail transit industry</w:t>
      </w:r>
      <w:r w:rsidR="003C1F4B" w:rsidRPr="00DB6FFF">
        <w:rPr>
          <w:rFonts w:cs="Calibri"/>
        </w:rPr>
        <w:t>. We present several issues for further consideration related to establish</w:t>
      </w:r>
      <w:r w:rsidR="00562A09">
        <w:rPr>
          <w:rFonts w:cs="Calibri"/>
        </w:rPr>
        <w:t xml:space="preserve">ing </w:t>
      </w:r>
      <w:r w:rsidR="003C1F4B" w:rsidRPr="00DB6FFF">
        <w:rPr>
          <w:rFonts w:cs="Calibri"/>
        </w:rPr>
        <w:t>a pilot</w:t>
      </w:r>
      <w:r w:rsidR="000F3D09" w:rsidRPr="00DB6FFF">
        <w:rPr>
          <w:rFonts w:cs="Calibri"/>
        </w:rPr>
        <w:t xml:space="preserve"> system</w:t>
      </w:r>
      <w:r w:rsidR="005D4B1A" w:rsidRPr="00DB6FFF">
        <w:rPr>
          <w:rFonts w:cs="Calibri"/>
        </w:rPr>
        <w:t xml:space="preserve">, and finally, we present our recommendations on how FTA can support the establishment of a </w:t>
      </w:r>
      <w:r w:rsidR="005A5D6F" w:rsidRPr="00DB6FFF">
        <w:rPr>
          <w:rFonts w:cs="Calibri"/>
        </w:rPr>
        <w:t>confidential, non-</w:t>
      </w:r>
      <w:r w:rsidR="00CF6B42" w:rsidRPr="00DB6FFF">
        <w:rPr>
          <w:rFonts w:cs="Calibri"/>
        </w:rPr>
        <w:t>punitive</w:t>
      </w:r>
      <w:r w:rsidR="006D67B7">
        <w:rPr>
          <w:rFonts w:cs="Calibri"/>
        </w:rPr>
        <w:t xml:space="preserve">, </w:t>
      </w:r>
      <w:r w:rsidR="008D7209">
        <w:rPr>
          <w:rFonts w:cs="Calibri"/>
        </w:rPr>
        <w:t>close call</w:t>
      </w:r>
      <w:r w:rsidR="006D67B7">
        <w:rPr>
          <w:rFonts w:cs="Calibri"/>
        </w:rPr>
        <w:t xml:space="preserve"> </w:t>
      </w:r>
      <w:r w:rsidR="00046A8D">
        <w:rPr>
          <w:rFonts w:cs="Calibri"/>
        </w:rPr>
        <w:t xml:space="preserve">safety </w:t>
      </w:r>
      <w:r w:rsidR="005D4B1A" w:rsidRPr="00DB6FFF">
        <w:rPr>
          <w:rFonts w:cs="Calibri"/>
        </w:rPr>
        <w:t>reporting system for the rail transit industry</w:t>
      </w:r>
      <w:r w:rsidR="00A17561">
        <w:rPr>
          <w:rFonts w:cs="Calibri"/>
        </w:rPr>
        <w:t xml:space="preserve">. </w:t>
      </w:r>
    </w:p>
    <w:p w:rsidR="005871F3" w:rsidRPr="00DB6FFF" w:rsidRDefault="005871F3" w:rsidP="004B4E6A">
      <w:pPr>
        <w:rPr>
          <w:rFonts w:cs="Calibri"/>
        </w:rPr>
      </w:pPr>
    </w:p>
    <w:p w:rsidR="005871F3" w:rsidRPr="00DB6FFF" w:rsidRDefault="005871F3" w:rsidP="004B4E6A">
      <w:pPr>
        <w:rPr>
          <w:rFonts w:cs="Calibri"/>
        </w:rPr>
      </w:pPr>
    </w:p>
    <w:p w:rsidR="003520BE" w:rsidRPr="00DB6FFF" w:rsidRDefault="003520BE" w:rsidP="004B4E6A">
      <w:pPr>
        <w:pStyle w:val="Heading1"/>
        <w:rPr>
          <w:rFonts w:ascii="Calibri" w:hAnsi="Calibri" w:cs="Calibri"/>
        </w:rPr>
        <w:sectPr w:rsidR="003520BE" w:rsidRPr="00DB6FFF" w:rsidSect="000850EF">
          <w:pgSz w:w="12240" w:h="15840" w:code="1"/>
          <w:pgMar w:top="1440" w:right="1440" w:bottom="1440" w:left="1440" w:header="720" w:footer="720" w:gutter="0"/>
          <w:cols w:space="720"/>
          <w:docGrid w:linePitch="360"/>
        </w:sectPr>
      </w:pPr>
      <w:bookmarkStart w:id="26" w:name="_Toc292721519"/>
      <w:bookmarkStart w:id="27" w:name="_Toc292723828"/>
      <w:bookmarkEnd w:id="25"/>
    </w:p>
    <w:p w:rsidR="00A61BAC" w:rsidRPr="00DB6FFF" w:rsidRDefault="00A61BAC" w:rsidP="00BD46F4">
      <w:pPr>
        <w:pStyle w:val="Heading1"/>
        <w:rPr>
          <w:rFonts w:ascii="Calibri" w:hAnsi="Calibri" w:cs="Calibri"/>
        </w:rPr>
      </w:pPr>
      <w:bookmarkStart w:id="28" w:name="_Toc316336499"/>
      <w:bookmarkStart w:id="29" w:name="_Toc317106144"/>
      <w:r w:rsidRPr="00DB6FFF">
        <w:rPr>
          <w:rFonts w:ascii="Calibri" w:hAnsi="Calibri" w:cs="Calibri"/>
        </w:rPr>
        <w:lastRenderedPageBreak/>
        <w:t>Principles and Characteristics</w:t>
      </w:r>
      <w:r w:rsidR="003D56CC" w:rsidRPr="00DB6FFF">
        <w:rPr>
          <w:rFonts w:ascii="Calibri" w:hAnsi="Calibri" w:cs="Calibri"/>
        </w:rPr>
        <w:t xml:space="preserve"> of </w:t>
      </w:r>
      <w:r w:rsidR="00D850D8" w:rsidRPr="00DB6FFF">
        <w:rPr>
          <w:rFonts w:ascii="Calibri" w:hAnsi="Calibri" w:cs="Calibri"/>
        </w:rPr>
        <w:t>a</w:t>
      </w:r>
      <w:r w:rsidR="008F0B46">
        <w:rPr>
          <w:rFonts w:ascii="Calibri" w:hAnsi="Calibri" w:cs="Calibri"/>
        </w:rPr>
        <w:t xml:space="preserve"> </w:t>
      </w:r>
      <w:r w:rsidR="00655937">
        <w:rPr>
          <w:rFonts w:ascii="Calibri" w:hAnsi="Calibri" w:cs="Calibri"/>
        </w:rPr>
        <w:t xml:space="preserve">Confidential, Non-Punitive, </w:t>
      </w:r>
      <w:r w:rsidR="008D7209">
        <w:rPr>
          <w:rFonts w:ascii="Calibri" w:hAnsi="Calibri" w:cs="Calibri"/>
        </w:rPr>
        <w:t>Close Call</w:t>
      </w:r>
      <w:r w:rsidR="00E85A8C">
        <w:rPr>
          <w:rFonts w:ascii="Calibri" w:hAnsi="Calibri" w:cs="Calibri"/>
        </w:rPr>
        <w:t xml:space="preserve"> </w:t>
      </w:r>
      <w:r w:rsidR="00C17469">
        <w:rPr>
          <w:rFonts w:ascii="Calibri" w:hAnsi="Calibri" w:cs="Calibri"/>
        </w:rPr>
        <w:t xml:space="preserve">Safety </w:t>
      </w:r>
      <w:r w:rsidR="00E85A8C">
        <w:rPr>
          <w:rFonts w:ascii="Calibri" w:hAnsi="Calibri" w:cs="Calibri"/>
        </w:rPr>
        <w:t>Reporting</w:t>
      </w:r>
      <w:r w:rsidR="00EB6281" w:rsidRPr="00DB6FFF">
        <w:rPr>
          <w:rFonts w:ascii="Calibri" w:hAnsi="Calibri" w:cs="Calibri"/>
        </w:rPr>
        <w:t xml:space="preserve"> System</w:t>
      </w:r>
      <w:bookmarkEnd w:id="28"/>
      <w:bookmarkEnd w:id="29"/>
    </w:p>
    <w:p w:rsidR="001D1DC5" w:rsidRPr="00DB6FFF" w:rsidRDefault="003B1583" w:rsidP="00233F34">
      <w:pPr>
        <w:pStyle w:val="Heading2"/>
        <w:spacing w:before="120"/>
        <w:rPr>
          <w:rFonts w:ascii="Calibri" w:hAnsi="Calibri" w:cs="Calibri"/>
        </w:rPr>
      </w:pPr>
      <w:bookmarkStart w:id="30" w:name="_Toc316336500"/>
      <w:bookmarkStart w:id="31" w:name="_Toc317097303"/>
      <w:bookmarkStart w:id="32" w:name="_Toc317106145"/>
      <w:r w:rsidRPr="00DB6FFF">
        <w:rPr>
          <w:rFonts w:ascii="Calibri" w:hAnsi="Calibri" w:cs="Calibri"/>
        </w:rPr>
        <w:t xml:space="preserve">Elements </w:t>
      </w:r>
      <w:r w:rsidR="00485150" w:rsidRPr="00DB6FFF">
        <w:rPr>
          <w:rFonts w:ascii="Calibri" w:hAnsi="Calibri" w:cs="Calibri"/>
        </w:rPr>
        <w:t xml:space="preserve">of </w:t>
      </w:r>
      <w:r w:rsidR="001F3800" w:rsidRPr="00DB6FFF">
        <w:rPr>
          <w:rFonts w:ascii="Calibri" w:hAnsi="Calibri" w:cs="Calibri"/>
        </w:rPr>
        <w:t>Existing Systems</w:t>
      </w:r>
      <w:bookmarkEnd w:id="30"/>
      <w:bookmarkEnd w:id="31"/>
      <w:bookmarkEnd w:id="32"/>
    </w:p>
    <w:p w:rsidR="00AB4E09" w:rsidRPr="00DB6FFF" w:rsidRDefault="00CD3F19" w:rsidP="00233F34">
      <w:pPr>
        <w:spacing w:after="120"/>
        <w:rPr>
          <w:rFonts w:cs="Calibri"/>
        </w:rPr>
      </w:pPr>
      <w:r w:rsidRPr="00DB6FFF">
        <w:rPr>
          <w:rFonts w:cs="Calibri"/>
        </w:rPr>
        <w:t>E</w:t>
      </w:r>
      <w:r w:rsidR="00C47CFA" w:rsidRPr="00DB6FFF">
        <w:rPr>
          <w:rFonts w:cs="Calibri"/>
        </w:rPr>
        <w:t>xisting models of</w:t>
      </w:r>
      <w:r w:rsidR="008F0B46">
        <w:rPr>
          <w:rFonts w:cs="Calibri"/>
        </w:rPr>
        <w:t xml:space="preserve"> </w:t>
      </w:r>
      <w:r w:rsidR="008D7209">
        <w:rPr>
          <w:rFonts w:cs="Calibri"/>
        </w:rPr>
        <w:t>close call</w:t>
      </w:r>
      <w:r w:rsidR="005B1383">
        <w:rPr>
          <w:rFonts w:cs="Calibri"/>
        </w:rPr>
        <w:t xml:space="preserve"> </w:t>
      </w:r>
      <w:r w:rsidR="00046A8D">
        <w:rPr>
          <w:rFonts w:cs="Calibri"/>
        </w:rPr>
        <w:t xml:space="preserve">safety </w:t>
      </w:r>
      <w:r w:rsidR="005B1383">
        <w:rPr>
          <w:rFonts w:cs="Calibri"/>
        </w:rPr>
        <w:t>reporting</w:t>
      </w:r>
      <w:r w:rsidR="00C47CFA" w:rsidRPr="00DB6FFF">
        <w:rPr>
          <w:rFonts w:cs="Calibri"/>
        </w:rPr>
        <w:t xml:space="preserve"> systems used by the</w:t>
      </w:r>
      <w:r w:rsidR="00D14B40" w:rsidRPr="00D14B40">
        <w:rPr>
          <w:rFonts w:cs="Calibri"/>
        </w:rPr>
        <w:t xml:space="preserve"> </w:t>
      </w:r>
      <w:r w:rsidR="0013108B">
        <w:rPr>
          <w:rFonts w:cs="Calibri"/>
        </w:rPr>
        <w:t xml:space="preserve">Aviation Safety Action Program (ASAP), </w:t>
      </w:r>
      <w:r w:rsidR="00D14B40">
        <w:rPr>
          <w:rFonts w:cs="Calibri"/>
        </w:rPr>
        <w:t>FA</w:t>
      </w:r>
      <w:r w:rsidR="00D14B40" w:rsidRPr="00DB6FFF">
        <w:rPr>
          <w:rFonts w:cs="Calibri"/>
        </w:rPr>
        <w:t xml:space="preserve">A/NASA </w:t>
      </w:r>
      <w:r w:rsidR="00D14B40">
        <w:rPr>
          <w:rFonts w:cs="Calibri"/>
        </w:rPr>
        <w:t>Aviation Safety Reporting System</w:t>
      </w:r>
      <w:r w:rsidR="00D14B40" w:rsidRPr="00DB6FFF">
        <w:rPr>
          <w:rFonts w:cs="Calibri"/>
        </w:rPr>
        <w:t xml:space="preserve"> </w:t>
      </w:r>
      <w:r w:rsidR="00D14B40">
        <w:rPr>
          <w:rFonts w:cs="Calibri"/>
        </w:rPr>
        <w:t>(ASRS)</w:t>
      </w:r>
      <w:r w:rsidR="0013108B">
        <w:rPr>
          <w:rFonts w:cs="Calibri"/>
        </w:rPr>
        <w:t>,</w:t>
      </w:r>
      <w:r w:rsidR="00D14B40" w:rsidRPr="00DB6FFF">
        <w:rPr>
          <w:rFonts w:cs="Calibri"/>
        </w:rPr>
        <w:t xml:space="preserve"> the FRA/BTS </w:t>
      </w:r>
      <w:r w:rsidR="00D14B40">
        <w:rPr>
          <w:rFonts w:cs="Calibri"/>
        </w:rPr>
        <w:t xml:space="preserve">pilot </w:t>
      </w:r>
      <w:r w:rsidR="00D14B40" w:rsidRPr="00DB6FFF">
        <w:rPr>
          <w:rFonts w:cs="Calibri"/>
        </w:rPr>
        <w:t>system (C</w:t>
      </w:r>
      <w:r w:rsidR="00D14B40" w:rsidRPr="00DB6FFF">
        <w:rPr>
          <w:rFonts w:cs="Calibri"/>
          <w:vertAlign w:val="superscript"/>
        </w:rPr>
        <w:t>3</w:t>
      </w:r>
      <w:r w:rsidR="00D14B40" w:rsidRPr="00DB6FFF">
        <w:rPr>
          <w:rFonts w:cs="Calibri"/>
        </w:rPr>
        <w:t>RS</w:t>
      </w:r>
      <w:r w:rsidR="00D14B40">
        <w:rPr>
          <w:rFonts w:cs="Calibri"/>
        </w:rPr>
        <w:t>/BTS</w:t>
      </w:r>
      <w:r w:rsidR="00D14B40" w:rsidRPr="00DB6FFF">
        <w:rPr>
          <w:rFonts w:cs="Calibri"/>
        </w:rPr>
        <w:t>)</w:t>
      </w:r>
      <w:r w:rsidR="0013108B">
        <w:rPr>
          <w:rFonts w:cs="Calibri"/>
        </w:rPr>
        <w:t>,</w:t>
      </w:r>
      <w:r w:rsidR="00D14B40">
        <w:rPr>
          <w:rFonts w:cs="Calibri"/>
        </w:rPr>
        <w:t xml:space="preserve"> and the FRA/NASA pilot system (C</w:t>
      </w:r>
      <w:r w:rsidR="00D14B40" w:rsidRPr="00697270">
        <w:rPr>
          <w:rFonts w:cs="Calibri"/>
          <w:vertAlign w:val="superscript"/>
        </w:rPr>
        <w:t>3</w:t>
      </w:r>
      <w:r w:rsidR="00D14B40">
        <w:rPr>
          <w:rFonts w:cs="Calibri"/>
        </w:rPr>
        <w:t>RS/NASA)</w:t>
      </w:r>
      <w:r w:rsidR="00D14B40" w:rsidRPr="00DB6FFF">
        <w:rPr>
          <w:rFonts w:cs="Calibri"/>
        </w:rPr>
        <w:t>.</w:t>
      </w:r>
    </w:p>
    <w:p w:rsidR="00AB4E09" w:rsidRDefault="00AB4E09" w:rsidP="00AB4E09">
      <w:pPr>
        <w:pStyle w:val="Caption"/>
        <w:keepNext/>
        <w:spacing w:after="120"/>
      </w:pPr>
      <w:r>
        <w:t xml:space="preserve">Table </w:t>
      </w:r>
      <w:fldSimple w:instr=" SEQ Table \* ARABIC ">
        <w:r w:rsidR="00517329">
          <w:rPr>
            <w:noProof/>
          </w:rPr>
          <w:t>1</w:t>
        </w:r>
      </w:fldSimple>
      <w:r>
        <w:t>: Elements of Existing Close</w:t>
      </w:r>
      <w:r w:rsidR="00562A09">
        <w:t xml:space="preserve"> </w:t>
      </w:r>
      <w:r>
        <w:t xml:space="preserve">Call </w:t>
      </w:r>
      <w:r w:rsidR="00046A8D">
        <w:t xml:space="preserve">Safety </w:t>
      </w:r>
      <w:r>
        <w:t>Reporting Systems</w:t>
      </w:r>
    </w:p>
    <w:tbl>
      <w:tblPr>
        <w:tblW w:w="1315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548"/>
        <w:gridCol w:w="2430"/>
        <w:gridCol w:w="1800"/>
        <w:gridCol w:w="2160"/>
        <w:gridCol w:w="2430"/>
        <w:gridCol w:w="2790"/>
      </w:tblGrid>
      <w:tr w:rsidR="009B46A9" w:rsidRPr="00B77C28" w:rsidTr="00DE434D">
        <w:trPr>
          <w:trHeight w:val="333"/>
          <w:tblHeader/>
        </w:trPr>
        <w:tc>
          <w:tcPr>
            <w:tcW w:w="1548" w:type="dxa"/>
            <w:tcBorders>
              <w:top w:val="single" w:sz="8" w:space="0" w:color="4F81BD"/>
              <w:bottom w:val="single" w:sz="8" w:space="0" w:color="4F81BD"/>
              <w:right w:val="single" w:sz="8" w:space="0" w:color="FFFFFF"/>
            </w:tcBorders>
            <w:shd w:val="clear" w:color="auto" w:fill="4F81BD"/>
          </w:tcPr>
          <w:p w:rsidR="00D14B40" w:rsidRPr="00B77C28" w:rsidRDefault="00D14B40" w:rsidP="00BD46F4">
            <w:pPr>
              <w:spacing w:after="0" w:line="264" w:lineRule="auto"/>
              <w:ind w:right="74"/>
              <w:rPr>
                <w:rFonts w:cs="Calibri"/>
                <w:b/>
                <w:bCs/>
                <w:color w:val="FFFFFF"/>
                <w:sz w:val="24"/>
                <w:szCs w:val="24"/>
              </w:rPr>
            </w:pPr>
            <w:r w:rsidRPr="00B77C28">
              <w:rPr>
                <w:rFonts w:cs="Calibri"/>
                <w:b/>
                <w:bCs/>
                <w:color w:val="FFFFFF"/>
                <w:sz w:val="24"/>
                <w:szCs w:val="24"/>
              </w:rPr>
              <w:t>Element</w:t>
            </w:r>
          </w:p>
        </w:tc>
        <w:tc>
          <w:tcPr>
            <w:tcW w:w="2430" w:type="dxa"/>
            <w:tcBorders>
              <w:top w:val="single" w:sz="8" w:space="0" w:color="4F81BD"/>
              <w:left w:val="single" w:sz="8" w:space="0" w:color="FFFFFF"/>
              <w:bottom w:val="single" w:sz="8" w:space="0" w:color="4F81BD"/>
              <w:right w:val="single" w:sz="8" w:space="0" w:color="FFFFFF"/>
            </w:tcBorders>
            <w:shd w:val="clear" w:color="auto" w:fill="4F81BD"/>
          </w:tcPr>
          <w:p w:rsidR="00D14B40" w:rsidRPr="00B77C28" w:rsidRDefault="00D14B40" w:rsidP="00C47CFA">
            <w:pPr>
              <w:spacing w:after="0" w:line="264" w:lineRule="auto"/>
              <w:rPr>
                <w:rFonts w:cs="Calibri"/>
                <w:b/>
                <w:bCs/>
                <w:color w:val="FFFFFF"/>
                <w:sz w:val="24"/>
                <w:szCs w:val="24"/>
              </w:rPr>
            </w:pPr>
            <w:r w:rsidRPr="00B77C28">
              <w:rPr>
                <w:rFonts w:cs="Calibri"/>
                <w:b/>
                <w:bCs/>
                <w:color w:val="FFFFFF"/>
                <w:sz w:val="24"/>
                <w:szCs w:val="24"/>
              </w:rPr>
              <w:t>Description</w:t>
            </w:r>
          </w:p>
        </w:tc>
        <w:tc>
          <w:tcPr>
            <w:tcW w:w="1800" w:type="dxa"/>
            <w:tcBorders>
              <w:top w:val="single" w:sz="8" w:space="0" w:color="4F81BD"/>
              <w:left w:val="single" w:sz="8" w:space="0" w:color="FFFFFF"/>
              <w:bottom w:val="single" w:sz="8" w:space="0" w:color="4F81BD"/>
              <w:right w:val="single" w:sz="8" w:space="0" w:color="FFFFFF"/>
            </w:tcBorders>
            <w:shd w:val="clear" w:color="auto" w:fill="4F81BD"/>
          </w:tcPr>
          <w:p w:rsidR="00D14B40" w:rsidRPr="00B77C28" w:rsidRDefault="00D14B40" w:rsidP="00C47CFA">
            <w:pPr>
              <w:spacing w:after="0" w:line="264" w:lineRule="auto"/>
              <w:rPr>
                <w:rFonts w:cs="Calibri"/>
                <w:b/>
                <w:bCs/>
                <w:color w:val="FFFFFF"/>
                <w:sz w:val="24"/>
                <w:szCs w:val="24"/>
              </w:rPr>
            </w:pPr>
            <w:r w:rsidRPr="00B77C28">
              <w:rPr>
                <w:rFonts w:cs="Calibri"/>
                <w:b/>
                <w:bCs/>
                <w:color w:val="FFFFFF"/>
                <w:sz w:val="24"/>
                <w:szCs w:val="24"/>
              </w:rPr>
              <w:t>ASAP</w:t>
            </w:r>
          </w:p>
        </w:tc>
        <w:tc>
          <w:tcPr>
            <w:tcW w:w="2160" w:type="dxa"/>
            <w:tcBorders>
              <w:top w:val="single" w:sz="8" w:space="0" w:color="4F81BD"/>
              <w:left w:val="single" w:sz="8" w:space="0" w:color="FFFFFF"/>
              <w:bottom w:val="single" w:sz="8" w:space="0" w:color="4F81BD"/>
              <w:right w:val="single" w:sz="8" w:space="0" w:color="FFFFFF"/>
            </w:tcBorders>
            <w:shd w:val="clear" w:color="auto" w:fill="4F81BD"/>
          </w:tcPr>
          <w:p w:rsidR="00D14B40" w:rsidRPr="00B77C28" w:rsidRDefault="00D14B40" w:rsidP="00C47CFA">
            <w:pPr>
              <w:spacing w:after="0" w:line="264" w:lineRule="auto"/>
              <w:rPr>
                <w:rFonts w:cs="Calibri"/>
                <w:b/>
                <w:bCs/>
                <w:color w:val="FFFFFF"/>
                <w:sz w:val="24"/>
                <w:szCs w:val="24"/>
              </w:rPr>
            </w:pPr>
            <w:r w:rsidRPr="00B77C28">
              <w:rPr>
                <w:rFonts w:cs="Calibri"/>
                <w:b/>
                <w:bCs/>
                <w:color w:val="FFFFFF"/>
                <w:sz w:val="24"/>
                <w:szCs w:val="24"/>
              </w:rPr>
              <w:t>ASRS</w:t>
            </w:r>
          </w:p>
        </w:tc>
        <w:tc>
          <w:tcPr>
            <w:tcW w:w="2430" w:type="dxa"/>
            <w:tcBorders>
              <w:top w:val="single" w:sz="8" w:space="0" w:color="4F81BD"/>
              <w:left w:val="single" w:sz="8" w:space="0" w:color="FFFFFF"/>
              <w:bottom w:val="single" w:sz="8" w:space="0" w:color="4F81BD"/>
              <w:right w:val="single" w:sz="8" w:space="0" w:color="FFFFFF"/>
            </w:tcBorders>
            <w:shd w:val="clear" w:color="auto" w:fill="4F81BD"/>
          </w:tcPr>
          <w:p w:rsidR="00D14B40" w:rsidRPr="00B77C28" w:rsidRDefault="00D14B40" w:rsidP="00C47CFA">
            <w:pPr>
              <w:spacing w:after="0" w:line="264" w:lineRule="auto"/>
              <w:rPr>
                <w:rFonts w:cs="Calibri"/>
                <w:b/>
                <w:bCs/>
                <w:color w:val="FFFFFF"/>
                <w:sz w:val="24"/>
                <w:szCs w:val="24"/>
              </w:rPr>
            </w:pPr>
            <w:r>
              <w:rPr>
                <w:rFonts w:cs="Calibri"/>
                <w:b/>
                <w:bCs/>
                <w:color w:val="FFFFFF"/>
                <w:sz w:val="24"/>
                <w:szCs w:val="24"/>
              </w:rPr>
              <w:t>C</w:t>
            </w:r>
            <w:r w:rsidRPr="00697270">
              <w:rPr>
                <w:rFonts w:cs="Calibri"/>
                <w:b/>
                <w:bCs/>
                <w:color w:val="FFFFFF"/>
                <w:sz w:val="24"/>
                <w:szCs w:val="24"/>
                <w:vertAlign w:val="superscript"/>
              </w:rPr>
              <w:t>3</w:t>
            </w:r>
            <w:r>
              <w:rPr>
                <w:rFonts w:cs="Calibri"/>
                <w:b/>
                <w:bCs/>
                <w:color w:val="FFFFFF"/>
                <w:sz w:val="24"/>
                <w:szCs w:val="24"/>
              </w:rPr>
              <w:t>RS/NASA</w:t>
            </w:r>
          </w:p>
        </w:tc>
        <w:tc>
          <w:tcPr>
            <w:tcW w:w="2790" w:type="dxa"/>
            <w:tcBorders>
              <w:top w:val="single" w:sz="8" w:space="0" w:color="4F81BD"/>
              <w:left w:val="single" w:sz="8" w:space="0" w:color="FFFFFF"/>
              <w:bottom w:val="single" w:sz="8" w:space="0" w:color="4F81BD"/>
            </w:tcBorders>
            <w:shd w:val="clear" w:color="auto" w:fill="4F81BD"/>
          </w:tcPr>
          <w:p w:rsidR="00D14B40" w:rsidRPr="00B77C28" w:rsidRDefault="00D14B40" w:rsidP="00C47CFA">
            <w:pPr>
              <w:spacing w:after="0" w:line="264" w:lineRule="auto"/>
              <w:rPr>
                <w:rFonts w:cs="Calibri"/>
                <w:b/>
                <w:bCs/>
                <w:color w:val="FFFFFF"/>
                <w:sz w:val="24"/>
                <w:szCs w:val="24"/>
              </w:rPr>
            </w:pPr>
            <w:r w:rsidRPr="00B77C28">
              <w:rPr>
                <w:rFonts w:cs="Calibri"/>
                <w:b/>
                <w:bCs/>
                <w:color w:val="FFFFFF"/>
                <w:sz w:val="24"/>
                <w:szCs w:val="24"/>
              </w:rPr>
              <w:t>C</w:t>
            </w:r>
            <w:r w:rsidRPr="00B77C28">
              <w:rPr>
                <w:rFonts w:cs="Calibri"/>
                <w:b/>
                <w:bCs/>
                <w:color w:val="FFFFFF"/>
                <w:sz w:val="24"/>
                <w:szCs w:val="24"/>
                <w:vertAlign w:val="superscript"/>
              </w:rPr>
              <w:t>3</w:t>
            </w:r>
            <w:r w:rsidRPr="00B77C28">
              <w:rPr>
                <w:rFonts w:cs="Calibri"/>
                <w:b/>
                <w:bCs/>
                <w:color w:val="FFFFFF"/>
                <w:sz w:val="24"/>
                <w:szCs w:val="24"/>
              </w:rPr>
              <w:t>RS</w:t>
            </w:r>
            <w:r>
              <w:rPr>
                <w:rFonts w:cs="Calibri"/>
                <w:b/>
                <w:bCs/>
                <w:color w:val="FFFFFF"/>
                <w:sz w:val="24"/>
                <w:szCs w:val="24"/>
              </w:rPr>
              <w:t>/BTS</w:t>
            </w:r>
          </w:p>
        </w:tc>
      </w:tr>
      <w:tr w:rsidR="009B46A9" w:rsidRPr="00B77C28" w:rsidTr="00DE434D">
        <w:trPr>
          <w:trHeight w:val="768"/>
        </w:trPr>
        <w:tc>
          <w:tcPr>
            <w:tcW w:w="1548" w:type="dxa"/>
            <w:tcBorders>
              <w:top w:val="single" w:sz="8" w:space="0" w:color="4F81BD"/>
              <w:left w:val="single" w:sz="8" w:space="0" w:color="4F81BD"/>
              <w:bottom w:val="single" w:sz="8" w:space="0" w:color="4F81BD"/>
              <w:right w:val="single" w:sz="8" w:space="0" w:color="4F81BD"/>
            </w:tcBorders>
          </w:tcPr>
          <w:p w:rsidR="00D14B40" w:rsidRPr="00B77C28" w:rsidRDefault="00D14B40" w:rsidP="00BD46F4">
            <w:pPr>
              <w:spacing w:after="0" w:line="264" w:lineRule="auto"/>
              <w:ind w:right="74"/>
              <w:rPr>
                <w:rFonts w:cs="Calibri"/>
                <w:b/>
                <w:bCs/>
              </w:rPr>
            </w:pPr>
            <w:r w:rsidRPr="00B77C28">
              <w:rPr>
                <w:rFonts w:cs="Calibri"/>
                <w:b/>
                <w:bCs/>
              </w:rPr>
              <w:t>Voluntary Reporting</w:t>
            </w: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CB20B7" w:rsidP="007A2519">
            <w:pPr>
              <w:spacing w:after="0"/>
              <w:rPr>
                <w:rFonts w:cs="Calibri"/>
              </w:rPr>
            </w:pPr>
            <w:r>
              <w:rPr>
                <w:rFonts w:cs="Calibri"/>
              </w:rPr>
              <w:t>Rely</w:t>
            </w:r>
            <w:r w:rsidR="00D14B40" w:rsidRPr="00B77C28">
              <w:rPr>
                <w:rFonts w:cs="Calibri"/>
              </w:rPr>
              <w:t xml:space="preserve"> on employees to voluntarily report safety incidents</w:t>
            </w:r>
            <w:r>
              <w:rPr>
                <w:rFonts w:cs="Calibri"/>
              </w:rPr>
              <w:t xml:space="preserve"> </w:t>
            </w:r>
            <w:r w:rsidR="00D14B40" w:rsidRPr="00B77C28">
              <w:rPr>
                <w:rFonts w:cs="Calibri"/>
              </w:rPr>
              <w:t>and concerns.</w:t>
            </w:r>
          </w:p>
        </w:tc>
        <w:tc>
          <w:tcPr>
            <w:tcW w:w="1800" w:type="dxa"/>
            <w:tcBorders>
              <w:top w:val="single" w:sz="8" w:space="0" w:color="4F81BD"/>
              <w:left w:val="single" w:sz="8" w:space="0" w:color="4F81BD"/>
              <w:bottom w:val="single" w:sz="8" w:space="0" w:color="4F81BD"/>
              <w:right w:val="single" w:sz="8" w:space="0" w:color="4F81BD"/>
            </w:tcBorders>
          </w:tcPr>
          <w:p w:rsidR="00D14B40" w:rsidRPr="00B77C28" w:rsidRDefault="00D14B40" w:rsidP="004F1896">
            <w:pPr>
              <w:spacing w:after="0"/>
              <w:rPr>
                <w:rFonts w:cs="Calibri"/>
              </w:rPr>
            </w:pPr>
            <w:r w:rsidRPr="00B77C28">
              <w:rPr>
                <w:rFonts w:cs="Calibri"/>
              </w:rPr>
              <w:t xml:space="preserve">Reports submitted to </w:t>
            </w:r>
            <w:r>
              <w:rPr>
                <w:rFonts w:cs="Calibri"/>
              </w:rPr>
              <w:t>an Event Review Committee</w:t>
            </w:r>
            <w:r w:rsidR="00594B8D">
              <w:rPr>
                <w:rFonts w:cs="Calibri"/>
              </w:rPr>
              <w:t xml:space="preserve"> (ERC)</w:t>
            </w:r>
            <w:r>
              <w:rPr>
                <w:rFonts w:cs="Calibri"/>
              </w:rPr>
              <w:t xml:space="preserve"> </w:t>
            </w:r>
            <w:r w:rsidRPr="00B77C28">
              <w:rPr>
                <w:rFonts w:cs="Calibri"/>
              </w:rPr>
              <w:t>composed of representatives from FAA, management</w:t>
            </w:r>
            <w:r w:rsidR="00562A09">
              <w:rPr>
                <w:rFonts w:cs="Calibri"/>
              </w:rPr>
              <w:t>,</w:t>
            </w:r>
            <w:r w:rsidRPr="00B77C28">
              <w:rPr>
                <w:rFonts w:cs="Calibri"/>
              </w:rPr>
              <w:t xml:space="preserve"> and labor.  </w:t>
            </w:r>
          </w:p>
        </w:tc>
        <w:tc>
          <w:tcPr>
            <w:tcW w:w="2160" w:type="dxa"/>
            <w:tcBorders>
              <w:top w:val="single" w:sz="8" w:space="0" w:color="4F81BD"/>
              <w:left w:val="single" w:sz="8" w:space="0" w:color="4F81BD"/>
              <w:bottom w:val="single" w:sz="8" w:space="0" w:color="4F81BD"/>
              <w:right w:val="single" w:sz="8" w:space="0" w:color="4F81BD"/>
            </w:tcBorders>
          </w:tcPr>
          <w:p w:rsidR="00D14B40" w:rsidRPr="00B77C28" w:rsidRDefault="00D14B40" w:rsidP="004F1896">
            <w:pPr>
              <w:spacing w:after="0"/>
              <w:rPr>
                <w:rFonts w:cs="Calibri"/>
              </w:rPr>
            </w:pPr>
            <w:r w:rsidRPr="00B77C28">
              <w:rPr>
                <w:rFonts w:cs="Calibri"/>
              </w:rPr>
              <w:t>Reports submitted to an independent third-party agency.</w:t>
            </w: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D14B40" w:rsidP="004F1896">
            <w:pPr>
              <w:spacing w:after="0"/>
              <w:rPr>
                <w:rFonts w:cs="Calibri"/>
              </w:rPr>
            </w:pPr>
            <w:r w:rsidRPr="00B77C28">
              <w:rPr>
                <w:rFonts w:cs="Calibri"/>
              </w:rPr>
              <w:t>Reports submitted to an independent</w:t>
            </w:r>
            <w:r w:rsidR="00562A09">
              <w:rPr>
                <w:rFonts w:cs="Calibri"/>
              </w:rPr>
              <w:t>,</w:t>
            </w:r>
            <w:r w:rsidRPr="00B77C28">
              <w:rPr>
                <w:rFonts w:cs="Calibri"/>
              </w:rPr>
              <w:t xml:space="preserve"> third-party agency.</w:t>
            </w:r>
          </w:p>
        </w:tc>
        <w:tc>
          <w:tcPr>
            <w:tcW w:w="2790" w:type="dxa"/>
            <w:tcBorders>
              <w:top w:val="single" w:sz="8" w:space="0" w:color="4F81BD"/>
              <w:left w:val="single" w:sz="8" w:space="0" w:color="4F81BD"/>
              <w:bottom w:val="single" w:sz="8" w:space="0" w:color="4F81BD"/>
              <w:right w:val="single" w:sz="8" w:space="0" w:color="4F81BD"/>
            </w:tcBorders>
          </w:tcPr>
          <w:p w:rsidR="00D14B40" w:rsidRPr="00B77C28" w:rsidRDefault="00D14B40" w:rsidP="00B41651">
            <w:pPr>
              <w:spacing w:after="0"/>
              <w:rPr>
                <w:rFonts w:cs="Calibri"/>
              </w:rPr>
            </w:pPr>
            <w:r w:rsidRPr="00B77C28">
              <w:rPr>
                <w:rFonts w:cs="Calibri"/>
              </w:rPr>
              <w:t>Reports submitted to an independent</w:t>
            </w:r>
            <w:r w:rsidR="00562A09">
              <w:rPr>
                <w:rFonts w:cs="Calibri"/>
              </w:rPr>
              <w:t>,</w:t>
            </w:r>
            <w:r w:rsidRPr="00B77C28">
              <w:rPr>
                <w:rFonts w:cs="Calibri"/>
              </w:rPr>
              <w:t xml:space="preserve"> third-party agency.</w:t>
            </w:r>
          </w:p>
        </w:tc>
      </w:tr>
      <w:tr w:rsidR="009B46A9" w:rsidRPr="00B77C28" w:rsidTr="00DE434D">
        <w:trPr>
          <w:trHeight w:val="1168"/>
        </w:trPr>
        <w:tc>
          <w:tcPr>
            <w:tcW w:w="1548" w:type="dxa"/>
            <w:tcBorders>
              <w:top w:val="single" w:sz="8" w:space="0" w:color="4F81BD"/>
              <w:bottom w:val="single" w:sz="8" w:space="0" w:color="4F81BD"/>
              <w:right w:val="single" w:sz="8" w:space="0" w:color="4F81BD"/>
            </w:tcBorders>
          </w:tcPr>
          <w:p w:rsidR="00D14B40" w:rsidRPr="00B77C28" w:rsidRDefault="00D14B40" w:rsidP="00BD46F4">
            <w:pPr>
              <w:spacing w:after="0" w:line="264" w:lineRule="auto"/>
              <w:ind w:right="74"/>
              <w:rPr>
                <w:rFonts w:cs="Calibri"/>
                <w:b/>
                <w:bCs/>
              </w:rPr>
            </w:pPr>
            <w:r w:rsidRPr="00B77C28">
              <w:rPr>
                <w:rFonts w:cs="Calibri"/>
                <w:b/>
                <w:bCs/>
              </w:rPr>
              <w:t>Confidential Reporting</w:t>
            </w:r>
          </w:p>
          <w:p w:rsidR="00D14B40" w:rsidRPr="00B77C28" w:rsidRDefault="00D14B40" w:rsidP="00BD46F4">
            <w:pPr>
              <w:spacing w:after="0" w:line="264" w:lineRule="auto"/>
              <w:ind w:right="74"/>
              <w:rPr>
                <w:rFonts w:cs="Calibri"/>
                <w:b/>
                <w:bCs/>
              </w:rPr>
            </w:pP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CB20B7" w:rsidP="004F1896">
            <w:pPr>
              <w:spacing w:after="0" w:line="264" w:lineRule="auto"/>
              <w:rPr>
                <w:rFonts w:cs="Calibri"/>
              </w:rPr>
            </w:pPr>
            <w:r>
              <w:rPr>
                <w:rFonts w:cs="Calibri"/>
              </w:rPr>
              <w:t>Take</w:t>
            </w:r>
            <w:r w:rsidR="00D14B40" w:rsidRPr="00B77C28">
              <w:rPr>
                <w:rFonts w:cs="Calibri"/>
              </w:rPr>
              <w:t xml:space="preserve"> care </w:t>
            </w:r>
            <w:r w:rsidR="0013108B">
              <w:rPr>
                <w:rFonts w:cs="Calibri"/>
              </w:rPr>
              <w:t>in</w:t>
            </w:r>
            <w:r w:rsidR="0013108B" w:rsidRPr="00B77C28">
              <w:rPr>
                <w:rFonts w:cs="Calibri"/>
              </w:rPr>
              <w:t xml:space="preserve"> </w:t>
            </w:r>
            <w:r w:rsidR="00D14B40" w:rsidRPr="00B77C28">
              <w:rPr>
                <w:rFonts w:cs="Calibri"/>
              </w:rPr>
              <w:t>ensur</w:t>
            </w:r>
            <w:r w:rsidR="0013108B">
              <w:rPr>
                <w:rFonts w:cs="Calibri"/>
              </w:rPr>
              <w:t>ing</w:t>
            </w:r>
            <w:r w:rsidR="00D14B40" w:rsidRPr="00B77C28">
              <w:rPr>
                <w:rFonts w:cs="Calibri"/>
              </w:rPr>
              <w:t xml:space="preserve"> that identities of reporting individuals cannot be disclosed</w:t>
            </w:r>
            <w:r w:rsidR="0013108B">
              <w:rPr>
                <w:rFonts w:cs="Calibri"/>
              </w:rPr>
              <w:t>;</w:t>
            </w:r>
            <w:r w:rsidR="00D14B40">
              <w:rPr>
                <w:rFonts w:cs="Calibri"/>
              </w:rPr>
              <w:t xml:space="preserve"> some protect the identity of the carrier.</w:t>
            </w:r>
            <w:r w:rsidR="00D14B40" w:rsidRPr="00B77C28">
              <w:rPr>
                <w:rFonts w:cs="Calibri"/>
              </w:rPr>
              <w:t xml:space="preserve"> </w:t>
            </w:r>
          </w:p>
        </w:tc>
        <w:tc>
          <w:tcPr>
            <w:tcW w:w="1800" w:type="dxa"/>
            <w:tcBorders>
              <w:top w:val="single" w:sz="8" w:space="0" w:color="4F81BD"/>
              <w:left w:val="single" w:sz="8" w:space="0" w:color="4F81BD"/>
              <w:bottom w:val="single" w:sz="8" w:space="0" w:color="4F81BD"/>
              <w:right w:val="single" w:sz="8" w:space="0" w:color="4F81BD"/>
            </w:tcBorders>
          </w:tcPr>
          <w:p w:rsidR="00D14B40" w:rsidRPr="00B77C28" w:rsidRDefault="00D14B40" w:rsidP="004F1896">
            <w:pPr>
              <w:spacing w:after="0" w:line="264" w:lineRule="auto"/>
              <w:rPr>
                <w:rFonts w:cs="Calibri"/>
              </w:rPr>
            </w:pPr>
            <w:r>
              <w:rPr>
                <w:rFonts w:cs="Calibri"/>
              </w:rPr>
              <w:t>P</w:t>
            </w:r>
            <w:r w:rsidRPr="00B77C28">
              <w:rPr>
                <w:rFonts w:cs="Calibri"/>
              </w:rPr>
              <w:t>ersonally</w:t>
            </w:r>
            <w:r w:rsidR="00DB6D76">
              <w:rPr>
                <w:rFonts w:cs="Calibri"/>
              </w:rPr>
              <w:t xml:space="preserve"> </w:t>
            </w:r>
            <w:r w:rsidRPr="00B77C28">
              <w:rPr>
                <w:rFonts w:cs="Calibri"/>
              </w:rPr>
              <w:t>identifiable information (PII) is not destroyed</w:t>
            </w:r>
            <w:r w:rsidR="00CB20B7">
              <w:rPr>
                <w:rFonts w:cs="Calibri"/>
              </w:rPr>
              <w:t>;</w:t>
            </w:r>
            <w:r w:rsidRPr="00B77C28">
              <w:rPr>
                <w:rFonts w:cs="Calibri"/>
              </w:rPr>
              <w:t xml:space="preserve"> reports are not protected from </w:t>
            </w:r>
            <w:r w:rsidR="007441DF">
              <w:rPr>
                <w:rFonts w:cs="Calibri"/>
              </w:rPr>
              <w:t xml:space="preserve">legal </w:t>
            </w:r>
            <w:r w:rsidRPr="00B77C28">
              <w:rPr>
                <w:rFonts w:cs="Calibri"/>
              </w:rPr>
              <w:t>disclosure.</w:t>
            </w:r>
          </w:p>
        </w:tc>
        <w:tc>
          <w:tcPr>
            <w:tcW w:w="2160" w:type="dxa"/>
            <w:tcBorders>
              <w:top w:val="single" w:sz="8" w:space="0" w:color="4F81BD"/>
              <w:left w:val="single" w:sz="8" w:space="0" w:color="4F81BD"/>
              <w:bottom w:val="single" w:sz="8" w:space="0" w:color="4F81BD"/>
              <w:right w:val="single" w:sz="8" w:space="0" w:color="4F81BD"/>
            </w:tcBorders>
          </w:tcPr>
          <w:p w:rsidR="00D14B40" w:rsidRPr="00B77C28" w:rsidRDefault="00D14B40" w:rsidP="00D14B40">
            <w:pPr>
              <w:spacing w:after="0" w:line="264" w:lineRule="auto"/>
              <w:rPr>
                <w:rFonts w:cs="Calibri"/>
              </w:rPr>
            </w:pPr>
            <w:r>
              <w:rPr>
                <w:rFonts w:cs="Calibri"/>
              </w:rPr>
              <w:t>PII is removed</w:t>
            </w:r>
            <w:r w:rsidRPr="00B77C28">
              <w:rPr>
                <w:rFonts w:cs="Calibri"/>
              </w:rPr>
              <w:t xml:space="preserve"> once the report has been processed</w:t>
            </w:r>
            <w:r>
              <w:rPr>
                <w:rFonts w:cs="Calibri"/>
              </w:rPr>
              <w:t xml:space="preserve">, </w:t>
            </w:r>
            <w:r w:rsidRPr="00B77C28">
              <w:rPr>
                <w:rFonts w:cs="Calibri"/>
              </w:rPr>
              <w:t>coded</w:t>
            </w:r>
            <w:r>
              <w:rPr>
                <w:rFonts w:cs="Calibri"/>
              </w:rPr>
              <w:t>, and stored in a database</w:t>
            </w:r>
            <w:r w:rsidRPr="00B77C28">
              <w:rPr>
                <w:rFonts w:cs="Calibri"/>
              </w:rPr>
              <w:t>.</w:t>
            </w: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D14B40" w:rsidP="00D14B40">
            <w:pPr>
              <w:spacing w:after="0" w:line="264" w:lineRule="auto"/>
              <w:rPr>
                <w:rFonts w:cs="Calibri"/>
              </w:rPr>
            </w:pPr>
            <w:r w:rsidRPr="00B77C28">
              <w:rPr>
                <w:rFonts w:cs="Calibri"/>
              </w:rPr>
              <w:t xml:space="preserve">PII is </w:t>
            </w:r>
            <w:r>
              <w:rPr>
                <w:rFonts w:cs="Calibri"/>
              </w:rPr>
              <w:t>removed</w:t>
            </w:r>
            <w:r w:rsidRPr="00B77C28">
              <w:rPr>
                <w:rFonts w:cs="Calibri"/>
              </w:rPr>
              <w:t xml:space="preserve"> once the report has been processed</w:t>
            </w:r>
            <w:r>
              <w:rPr>
                <w:rFonts w:cs="Calibri"/>
              </w:rPr>
              <w:t xml:space="preserve">, </w:t>
            </w:r>
            <w:r w:rsidRPr="00B77C28">
              <w:rPr>
                <w:rFonts w:cs="Calibri"/>
              </w:rPr>
              <w:t>coded</w:t>
            </w:r>
            <w:r>
              <w:rPr>
                <w:rFonts w:cs="Calibri"/>
              </w:rPr>
              <w:t xml:space="preserve">, and stored in a database. </w:t>
            </w:r>
          </w:p>
        </w:tc>
        <w:tc>
          <w:tcPr>
            <w:tcW w:w="2790" w:type="dxa"/>
            <w:tcBorders>
              <w:top w:val="single" w:sz="8" w:space="0" w:color="4F81BD"/>
              <w:left w:val="single" w:sz="8" w:space="0" w:color="4F81BD"/>
              <w:bottom w:val="single" w:sz="8" w:space="0" w:color="4F81BD"/>
            </w:tcBorders>
          </w:tcPr>
          <w:p w:rsidR="00D14B40" w:rsidRPr="00B77C28" w:rsidRDefault="00D14B40" w:rsidP="00233F34">
            <w:pPr>
              <w:spacing w:after="0" w:line="264" w:lineRule="auto"/>
              <w:rPr>
                <w:rFonts w:cs="Calibri"/>
              </w:rPr>
            </w:pPr>
            <w:r w:rsidRPr="00B77C28">
              <w:rPr>
                <w:rFonts w:cs="Calibri"/>
              </w:rPr>
              <w:t>PII is not destroyed, but carefully protected under the Confidential Information Protection and Statistical Efficiency Act (CIPSEA), Title V of the E-Government Act of 2002.</w:t>
            </w:r>
          </w:p>
          <w:p w:rsidR="00D14B40" w:rsidRPr="00B77C28" w:rsidRDefault="00D14B40" w:rsidP="00233F34">
            <w:pPr>
              <w:spacing w:after="0" w:line="264" w:lineRule="auto"/>
              <w:rPr>
                <w:rFonts w:cs="Calibri"/>
              </w:rPr>
            </w:pPr>
          </w:p>
          <w:p w:rsidR="00D14B40" w:rsidRPr="00B77C28" w:rsidRDefault="00D14B40" w:rsidP="00233F34">
            <w:pPr>
              <w:spacing w:after="0" w:line="264" w:lineRule="auto"/>
              <w:rPr>
                <w:rFonts w:cs="Calibri"/>
              </w:rPr>
            </w:pPr>
          </w:p>
          <w:p w:rsidR="00D14B40" w:rsidRPr="00B77C28" w:rsidRDefault="00D14B40" w:rsidP="00233F34">
            <w:pPr>
              <w:spacing w:after="0" w:line="264" w:lineRule="auto"/>
              <w:rPr>
                <w:rFonts w:cs="Calibri"/>
              </w:rPr>
            </w:pPr>
          </w:p>
        </w:tc>
      </w:tr>
      <w:tr w:rsidR="009B46A9" w:rsidRPr="00B77C28" w:rsidTr="00DE434D">
        <w:trPr>
          <w:trHeight w:val="805"/>
        </w:trPr>
        <w:tc>
          <w:tcPr>
            <w:tcW w:w="1548" w:type="dxa"/>
            <w:tcBorders>
              <w:top w:val="single" w:sz="8" w:space="0" w:color="4F81BD"/>
              <w:left w:val="single" w:sz="8" w:space="0" w:color="4F81BD"/>
              <w:bottom w:val="single" w:sz="8" w:space="0" w:color="4F81BD"/>
              <w:right w:val="single" w:sz="8" w:space="0" w:color="4F81BD"/>
            </w:tcBorders>
          </w:tcPr>
          <w:p w:rsidR="00D14B40" w:rsidRPr="00B77C28" w:rsidRDefault="00D14B40" w:rsidP="00BD46F4">
            <w:pPr>
              <w:spacing w:after="0" w:line="264" w:lineRule="auto"/>
              <w:ind w:right="74"/>
              <w:rPr>
                <w:rFonts w:cs="Calibri"/>
                <w:b/>
                <w:bCs/>
              </w:rPr>
            </w:pPr>
            <w:r w:rsidRPr="00B77C28">
              <w:rPr>
                <w:rFonts w:cs="Calibri"/>
                <w:b/>
                <w:bCs/>
              </w:rPr>
              <w:lastRenderedPageBreak/>
              <w:t>Non-Punitive</w:t>
            </w:r>
          </w:p>
          <w:p w:rsidR="00D14B40" w:rsidRPr="00B77C28" w:rsidRDefault="00D14B40" w:rsidP="00BD46F4">
            <w:pPr>
              <w:spacing w:after="0" w:line="264" w:lineRule="auto"/>
              <w:ind w:right="74"/>
              <w:rPr>
                <w:rFonts w:cs="Calibri"/>
                <w:b/>
                <w:bCs/>
                <w:sz w:val="24"/>
                <w:szCs w:val="24"/>
              </w:rPr>
            </w:pPr>
          </w:p>
        </w:tc>
        <w:tc>
          <w:tcPr>
            <w:tcW w:w="2430" w:type="dxa"/>
            <w:tcBorders>
              <w:top w:val="single" w:sz="8" w:space="0" w:color="4F81BD"/>
              <w:left w:val="single" w:sz="8" w:space="0" w:color="4F81BD"/>
              <w:bottom w:val="single" w:sz="8" w:space="0" w:color="4F81BD"/>
              <w:right w:val="single" w:sz="8" w:space="0" w:color="4F81BD"/>
            </w:tcBorders>
            <w:shd w:val="clear" w:color="auto" w:fill="auto"/>
          </w:tcPr>
          <w:p w:rsidR="00D14B40" w:rsidRPr="00B77C28" w:rsidRDefault="008D7209" w:rsidP="008F04FA">
            <w:pPr>
              <w:spacing w:after="0" w:line="264" w:lineRule="auto"/>
              <w:rPr>
                <w:rFonts w:cs="Calibri"/>
              </w:rPr>
            </w:pPr>
            <w:r>
              <w:rPr>
                <w:rFonts w:cs="Calibri"/>
              </w:rPr>
              <w:t>Close call</w:t>
            </w:r>
            <w:r w:rsidR="00D14B40" w:rsidRPr="00B77C28">
              <w:rPr>
                <w:rFonts w:cs="Calibri"/>
              </w:rPr>
              <w:t xml:space="preserve"> </w:t>
            </w:r>
            <w:r w:rsidR="00D14B40">
              <w:rPr>
                <w:rFonts w:cs="Calibri"/>
              </w:rPr>
              <w:t xml:space="preserve">safety </w:t>
            </w:r>
            <w:r w:rsidR="00D14B40" w:rsidRPr="00B77C28">
              <w:rPr>
                <w:rFonts w:cs="Calibri"/>
              </w:rPr>
              <w:t xml:space="preserve">reporting systems provide protection from disciplinary action for employees that submit a qualifying report, which encourages individuals to voluntarily report safety </w:t>
            </w:r>
            <w:r w:rsidR="00D14B40">
              <w:rPr>
                <w:rFonts w:cs="Calibri"/>
              </w:rPr>
              <w:t>close calls</w:t>
            </w:r>
            <w:r w:rsidR="00D14B40" w:rsidRPr="00B77C28">
              <w:rPr>
                <w:rFonts w:cs="Calibri"/>
              </w:rPr>
              <w:t>.</w:t>
            </w:r>
            <w:r w:rsidR="00D14B40">
              <w:rPr>
                <w:rFonts w:cs="Calibri"/>
              </w:rPr>
              <w:t xml:space="preserve"> In some cases</w:t>
            </w:r>
            <w:r w:rsidR="00332B0D">
              <w:rPr>
                <w:rFonts w:cs="Calibri"/>
              </w:rPr>
              <w:t>,</w:t>
            </w:r>
            <w:r w:rsidR="00D14B40">
              <w:rPr>
                <w:rFonts w:cs="Calibri"/>
              </w:rPr>
              <w:t xml:space="preserve"> the carrier is protected from regulatory discipline as well.</w:t>
            </w:r>
          </w:p>
        </w:tc>
        <w:tc>
          <w:tcPr>
            <w:tcW w:w="1800" w:type="dxa"/>
            <w:tcBorders>
              <w:top w:val="single" w:sz="8" w:space="0" w:color="4F81BD"/>
              <w:left w:val="single" w:sz="8" w:space="0" w:color="4F81BD"/>
              <w:bottom w:val="single" w:sz="8" w:space="0" w:color="4F81BD"/>
              <w:right w:val="single" w:sz="8" w:space="0" w:color="4F81BD"/>
            </w:tcBorders>
          </w:tcPr>
          <w:p w:rsidR="00D14B40" w:rsidRPr="00B77C28" w:rsidRDefault="00D14B40" w:rsidP="00332B0D">
            <w:pPr>
              <w:spacing w:after="0" w:line="264" w:lineRule="auto"/>
              <w:rPr>
                <w:rFonts w:cs="Calibri"/>
              </w:rPr>
            </w:pPr>
            <w:r w:rsidRPr="00B77C28">
              <w:rPr>
                <w:rFonts w:cs="Calibri"/>
              </w:rPr>
              <w:t xml:space="preserve">Employees </w:t>
            </w:r>
            <w:r w:rsidR="00332B0D">
              <w:rPr>
                <w:rFonts w:cs="Calibri"/>
              </w:rPr>
              <w:t>who</w:t>
            </w:r>
            <w:r w:rsidR="00332B0D" w:rsidRPr="00B77C28">
              <w:rPr>
                <w:rFonts w:cs="Calibri"/>
              </w:rPr>
              <w:t xml:space="preserve"> </w:t>
            </w:r>
            <w:r w:rsidRPr="00B77C28">
              <w:rPr>
                <w:rFonts w:cs="Calibri"/>
              </w:rPr>
              <w:t>submit qualifying reports receive a corrective action letter in lieu of civil penalty action.</w:t>
            </w:r>
          </w:p>
        </w:tc>
        <w:tc>
          <w:tcPr>
            <w:tcW w:w="2160" w:type="dxa"/>
            <w:tcBorders>
              <w:top w:val="single" w:sz="8" w:space="0" w:color="4F81BD"/>
              <w:left w:val="single" w:sz="8" w:space="0" w:color="4F81BD"/>
              <w:bottom w:val="single" w:sz="8" w:space="0" w:color="4F81BD"/>
              <w:right w:val="single" w:sz="8" w:space="0" w:color="4F81BD"/>
            </w:tcBorders>
          </w:tcPr>
          <w:p w:rsidR="00D14B40" w:rsidRPr="00B77C28" w:rsidRDefault="00D14B40" w:rsidP="00332B0D">
            <w:pPr>
              <w:spacing w:after="0" w:line="264" w:lineRule="auto"/>
              <w:rPr>
                <w:rFonts w:cs="Calibri"/>
              </w:rPr>
            </w:pPr>
            <w:r w:rsidRPr="00B77C28">
              <w:rPr>
                <w:rFonts w:cs="Calibri"/>
              </w:rPr>
              <w:t xml:space="preserve">Employees </w:t>
            </w:r>
            <w:r w:rsidR="00332B0D">
              <w:rPr>
                <w:rFonts w:cs="Calibri"/>
              </w:rPr>
              <w:t>who</w:t>
            </w:r>
            <w:r w:rsidR="00332B0D" w:rsidRPr="00B77C28">
              <w:rPr>
                <w:rFonts w:cs="Calibri"/>
              </w:rPr>
              <w:t xml:space="preserve"> </w:t>
            </w:r>
            <w:r w:rsidRPr="00B77C28">
              <w:rPr>
                <w:rFonts w:cs="Calibri"/>
              </w:rPr>
              <w:t>submit qualifying reports are protected from disciplinary action.</w:t>
            </w: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7441DF" w:rsidP="00332B0D">
            <w:pPr>
              <w:spacing w:after="0" w:line="264" w:lineRule="auto"/>
              <w:rPr>
                <w:rFonts w:cs="Calibri"/>
              </w:rPr>
            </w:pPr>
            <w:r w:rsidRPr="00B77C28">
              <w:rPr>
                <w:rFonts w:cs="Calibri"/>
              </w:rPr>
              <w:t xml:space="preserve">Employees </w:t>
            </w:r>
            <w:r w:rsidR="00332B0D">
              <w:rPr>
                <w:rFonts w:cs="Calibri"/>
              </w:rPr>
              <w:t>who</w:t>
            </w:r>
            <w:r w:rsidR="00332B0D" w:rsidRPr="00B77C28">
              <w:rPr>
                <w:rFonts w:cs="Calibri"/>
              </w:rPr>
              <w:t xml:space="preserve"> </w:t>
            </w:r>
            <w:r w:rsidRPr="00B77C28">
              <w:rPr>
                <w:rFonts w:cs="Calibri"/>
              </w:rPr>
              <w:t>submit qualifying reports are protected from disciplinary action.</w:t>
            </w:r>
            <w:r>
              <w:rPr>
                <w:rFonts w:cs="Calibri"/>
              </w:rPr>
              <w:t xml:space="preserve"> The carrier is protected from FRA enforcement action as well.</w:t>
            </w:r>
          </w:p>
        </w:tc>
        <w:tc>
          <w:tcPr>
            <w:tcW w:w="2790" w:type="dxa"/>
            <w:tcBorders>
              <w:top w:val="single" w:sz="8" w:space="0" w:color="4F81BD"/>
              <w:left w:val="single" w:sz="8" w:space="0" w:color="4F81BD"/>
              <w:bottom w:val="single" w:sz="8" w:space="0" w:color="4F81BD"/>
              <w:right w:val="single" w:sz="8" w:space="0" w:color="4F81BD"/>
            </w:tcBorders>
          </w:tcPr>
          <w:p w:rsidR="00D14B40" w:rsidRPr="00B77C28" w:rsidRDefault="00D14B40" w:rsidP="00332B0D">
            <w:pPr>
              <w:spacing w:after="0" w:line="264" w:lineRule="auto"/>
              <w:rPr>
                <w:rFonts w:cs="Calibri"/>
              </w:rPr>
            </w:pPr>
            <w:r w:rsidRPr="00B77C28">
              <w:rPr>
                <w:rFonts w:cs="Calibri"/>
              </w:rPr>
              <w:t xml:space="preserve">Employees </w:t>
            </w:r>
            <w:r w:rsidR="00332B0D">
              <w:rPr>
                <w:rFonts w:cs="Calibri"/>
              </w:rPr>
              <w:t>who</w:t>
            </w:r>
            <w:r w:rsidR="00332B0D" w:rsidRPr="00B77C28">
              <w:rPr>
                <w:rFonts w:cs="Calibri"/>
              </w:rPr>
              <w:t xml:space="preserve"> </w:t>
            </w:r>
            <w:r w:rsidRPr="00B77C28">
              <w:rPr>
                <w:rFonts w:cs="Calibri"/>
              </w:rPr>
              <w:t>submit qualifying reports are protected from disciplinary action.</w:t>
            </w:r>
            <w:r>
              <w:rPr>
                <w:rFonts w:cs="Calibri"/>
              </w:rPr>
              <w:t xml:space="preserve"> The carrier is protected from FRA enforcement action as well.</w:t>
            </w:r>
          </w:p>
        </w:tc>
      </w:tr>
      <w:tr w:rsidR="009B46A9" w:rsidRPr="00B77C28" w:rsidTr="00DE434D">
        <w:trPr>
          <w:trHeight w:val="3103"/>
        </w:trPr>
        <w:tc>
          <w:tcPr>
            <w:tcW w:w="1548" w:type="dxa"/>
            <w:tcBorders>
              <w:top w:val="single" w:sz="8" w:space="0" w:color="4F81BD"/>
              <w:bottom w:val="single" w:sz="8" w:space="0" w:color="4F81BD"/>
              <w:right w:val="single" w:sz="8" w:space="0" w:color="4F81BD"/>
            </w:tcBorders>
          </w:tcPr>
          <w:p w:rsidR="00D14B40" w:rsidRPr="00B77C28" w:rsidRDefault="00D14B40" w:rsidP="00BD46F4">
            <w:pPr>
              <w:spacing w:after="0" w:line="264" w:lineRule="auto"/>
              <w:ind w:right="74"/>
              <w:rPr>
                <w:rFonts w:cs="Calibri"/>
                <w:b/>
                <w:bCs/>
              </w:rPr>
            </w:pPr>
            <w:r w:rsidRPr="00B77C28">
              <w:rPr>
                <w:rFonts w:cs="Calibri"/>
                <w:b/>
                <w:bCs/>
              </w:rPr>
              <w:t>Third-Party Data Collection and De-identification</w:t>
            </w: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332B0D" w:rsidP="004E264E">
            <w:pPr>
              <w:spacing w:after="0" w:line="264" w:lineRule="auto"/>
              <w:rPr>
                <w:rFonts w:cs="Calibri"/>
              </w:rPr>
            </w:pPr>
            <w:r>
              <w:rPr>
                <w:rFonts w:cs="Calibri"/>
              </w:rPr>
              <w:t xml:space="preserve">To </w:t>
            </w:r>
            <w:r w:rsidR="00D14B40" w:rsidRPr="00B77C28">
              <w:rPr>
                <w:rFonts w:cs="Calibri"/>
              </w:rPr>
              <w:t xml:space="preserve">ensure confidentiality, </w:t>
            </w:r>
            <w:r w:rsidR="00D14B40">
              <w:rPr>
                <w:rFonts w:cs="Calibri"/>
              </w:rPr>
              <w:t>most but not all</w:t>
            </w:r>
            <w:r w:rsidR="00A306F4">
              <w:rPr>
                <w:rFonts w:cs="Calibri"/>
              </w:rPr>
              <w:t>,</w:t>
            </w:r>
            <w:r w:rsidR="00D14B40" w:rsidRPr="00B77C28">
              <w:rPr>
                <w:rFonts w:cs="Calibri"/>
              </w:rPr>
              <w:t xml:space="preserve"> </w:t>
            </w:r>
            <w:r w:rsidR="008D7209">
              <w:rPr>
                <w:rFonts w:cs="Calibri"/>
              </w:rPr>
              <w:t>close call</w:t>
            </w:r>
            <w:r w:rsidR="00D14B40" w:rsidRPr="00B77C28">
              <w:rPr>
                <w:rFonts w:cs="Calibri"/>
              </w:rPr>
              <w:t xml:space="preserve"> </w:t>
            </w:r>
            <w:r w:rsidR="00D14B40">
              <w:rPr>
                <w:rFonts w:cs="Calibri"/>
              </w:rPr>
              <w:t xml:space="preserve">safety </w:t>
            </w:r>
            <w:r w:rsidR="00D14B40" w:rsidRPr="00B77C28">
              <w:rPr>
                <w:rFonts w:cs="Calibri"/>
              </w:rPr>
              <w:t>reporting systems employ a third-party agency to receive, process, and</w:t>
            </w:r>
            <w:r>
              <w:rPr>
                <w:rFonts w:cs="Calibri"/>
              </w:rPr>
              <w:t>,</w:t>
            </w:r>
            <w:r w:rsidR="00D14B40" w:rsidRPr="00B77C28">
              <w:rPr>
                <w:rFonts w:cs="Calibri"/>
              </w:rPr>
              <w:t xml:space="preserve"> in some cases</w:t>
            </w:r>
            <w:r>
              <w:rPr>
                <w:rFonts w:cs="Calibri"/>
              </w:rPr>
              <w:t>,</w:t>
            </w:r>
            <w:r w:rsidR="00D14B40" w:rsidRPr="00B77C28">
              <w:rPr>
                <w:rFonts w:cs="Calibri"/>
              </w:rPr>
              <w:t xml:space="preserve"> investigate the reports. </w:t>
            </w:r>
          </w:p>
        </w:tc>
        <w:tc>
          <w:tcPr>
            <w:tcW w:w="1800" w:type="dxa"/>
            <w:tcBorders>
              <w:top w:val="single" w:sz="8" w:space="0" w:color="4F81BD"/>
              <w:left w:val="single" w:sz="8" w:space="0" w:color="4F81BD"/>
              <w:bottom w:val="single" w:sz="8" w:space="0" w:color="4F81BD"/>
              <w:right w:val="single" w:sz="8" w:space="0" w:color="4F81BD"/>
            </w:tcBorders>
          </w:tcPr>
          <w:p w:rsidR="009B46A9" w:rsidRPr="00B77C28" w:rsidRDefault="00D14B40">
            <w:pPr>
              <w:spacing w:after="0" w:line="264" w:lineRule="auto"/>
              <w:rPr>
                <w:rFonts w:cs="Calibri"/>
              </w:rPr>
            </w:pPr>
            <w:r w:rsidRPr="00B77C28">
              <w:rPr>
                <w:rFonts w:cs="Calibri"/>
              </w:rPr>
              <w:t>An independent third-party agency is not em</w:t>
            </w:r>
            <w:r w:rsidR="00594B8D">
              <w:rPr>
                <w:rFonts w:cs="Calibri"/>
              </w:rPr>
              <w:t>ployed. Reports are analyzed by the ERC</w:t>
            </w:r>
            <w:r w:rsidRPr="00B77C28">
              <w:rPr>
                <w:rFonts w:cs="Calibri"/>
              </w:rPr>
              <w:t>.</w:t>
            </w:r>
            <w:r w:rsidR="00594B8D">
              <w:rPr>
                <w:rFonts w:cs="Calibri"/>
              </w:rPr>
              <w:t xml:space="preserve"> </w:t>
            </w:r>
            <w:r w:rsidR="009B46A9">
              <w:rPr>
                <w:rFonts w:cs="Calibri"/>
              </w:rPr>
              <w:t>Currently 166 of these programs send duplicate data to the NASA ASRS system.</w:t>
            </w:r>
          </w:p>
        </w:tc>
        <w:tc>
          <w:tcPr>
            <w:tcW w:w="2160" w:type="dxa"/>
            <w:tcBorders>
              <w:top w:val="single" w:sz="8" w:space="0" w:color="4F81BD"/>
              <w:left w:val="single" w:sz="8" w:space="0" w:color="4F81BD"/>
              <w:bottom w:val="single" w:sz="8" w:space="0" w:color="4F81BD"/>
              <w:right w:val="single" w:sz="8" w:space="0" w:color="4F81BD"/>
            </w:tcBorders>
          </w:tcPr>
          <w:p w:rsidR="00D14B40" w:rsidRPr="00B77C28" w:rsidRDefault="00D14B40">
            <w:pPr>
              <w:spacing w:after="0" w:line="264" w:lineRule="auto"/>
              <w:rPr>
                <w:rFonts w:cs="Calibri"/>
              </w:rPr>
            </w:pPr>
            <w:r w:rsidRPr="00B77C28">
              <w:rPr>
                <w:rFonts w:cs="Calibri"/>
              </w:rPr>
              <w:t>NASA is the third-party agency for ASRS. NASA receives and processes the reports and follows up with phone calls when necessary to clarify details. Reports are coded and entered into the system for later analysis</w:t>
            </w:r>
            <w:r w:rsidR="009B46A9">
              <w:rPr>
                <w:rFonts w:cs="Calibri"/>
              </w:rPr>
              <w:t>.</w:t>
            </w: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9B46A9" w:rsidP="00A306F4">
            <w:pPr>
              <w:spacing w:after="0" w:line="264" w:lineRule="auto"/>
              <w:rPr>
                <w:rFonts w:cs="Calibri"/>
              </w:rPr>
            </w:pPr>
            <w:r w:rsidRPr="00B77C28">
              <w:rPr>
                <w:rFonts w:cs="Calibri"/>
              </w:rPr>
              <w:t>NASA is the third-party agency</w:t>
            </w:r>
            <w:r>
              <w:rPr>
                <w:rFonts w:cs="Calibri"/>
              </w:rPr>
              <w:t>.</w:t>
            </w:r>
            <w:r w:rsidRPr="00B77C28">
              <w:rPr>
                <w:rFonts w:cs="Calibri"/>
              </w:rPr>
              <w:t xml:space="preserve"> NASA receives </w:t>
            </w:r>
            <w:r>
              <w:rPr>
                <w:rFonts w:cs="Calibri"/>
              </w:rPr>
              <w:t xml:space="preserve">the reports directly </w:t>
            </w:r>
            <w:r w:rsidRPr="00B77C28">
              <w:rPr>
                <w:rFonts w:cs="Calibri"/>
              </w:rPr>
              <w:t xml:space="preserve">and </w:t>
            </w:r>
            <w:r>
              <w:rPr>
                <w:rFonts w:cs="Calibri"/>
              </w:rPr>
              <w:t xml:space="preserve">conducts a thorough analysis that includes an in depth callback </w:t>
            </w:r>
            <w:r w:rsidR="00A306F4">
              <w:rPr>
                <w:rFonts w:cs="Calibri"/>
              </w:rPr>
              <w:t xml:space="preserve">using </w:t>
            </w:r>
            <w:r>
              <w:rPr>
                <w:rFonts w:cs="Calibri"/>
              </w:rPr>
              <w:t>industry experts. NASA compiles event reports that are forwarded to the corresponding PRT after de-identification. NASA retains aggregated de-identified coded data.</w:t>
            </w:r>
          </w:p>
        </w:tc>
        <w:tc>
          <w:tcPr>
            <w:tcW w:w="2790" w:type="dxa"/>
            <w:tcBorders>
              <w:top w:val="single" w:sz="8" w:space="0" w:color="4F81BD"/>
              <w:left w:val="single" w:sz="8" w:space="0" w:color="4F81BD"/>
              <w:bottom w:val="single" w:sz="8" w:space="0" w:color="4F81BD"/>
            </w:tcBorders>
          </w:tcPr>
          <w:p w:rsidR="00D14B40" w:rsidRPr="00B77C28" w:rsidRDefault="00D14B40" w:rsidP="00A306F4">
            <w:pPr>
              <w:spacing w:after="0" w:line="264" w:lineRule="auto"/>
              <w:rPr>
                <w:rFonts w:cs="Calibri"/>
              </w:rPr>
            </w:pPr>
            <w:r w:rsidRPr="00B77C28">
              <w:rPr>
                <w:rFonts w:cs="Calibri"/>
              </w:rPr>
              <w:t xml:space="preserve">BTS is the third-party agency. BTS receives the reports </w:t>
            </w:r>
            <w:r>
              <w:rPr>
                <w:rFonts w:cs="Calibri"/>
              </w:rPr>
              <w:t xml:space="preserve">directly </w:t>
            </w:r>
            <w:r w:rsidRPr="00B77C28">
              <w:rPr>
                <w:rFonts w:cs="Calibri"/>
              </w:rPr>
              <w:t xml:space="preserve">and conducts in-depth follow-up interviews with employees who submit reports using industry experts. </w:t>
            </w:r>
            <w:r w:rsidRPr="00B77C28">
              <w:t xml:space="preserve">BTS compiles composite reports on close call events </w:t>
            </w:r>
            <w:r w:rsidR="00A306F4">
              <w:t>that</w:t>
            </w:r>
            <w:r w:rsidR="00A306F4" w:rsidRPr="00B77C28">
              <w:t xml:space="preserve"> </w:t>
            </w:r>
            <w:r w:rsidRPr="00B77C28">
              <w:t xml:space="preserve">are forwarded to a Peer Review Team </w:t>
            </w:r>
            <w:r w:rsidR="00CB20B7">
              <w:t xml:space="preserve">(PRT) </w:t>
            </w:r>
            <w:r w:rsidRPr="00B77C28">
              <w:t>at the FRA pilot site for further analysis</w:t>
            </w:r>
            <w:r w:rsidR="009B46A9">
              <w:t>. BTS retains all information, including PII.</w:t>
            </w:r>
          </w:p>
        </w:tc>
      </w:tr>
      <w:tr w:rsidR="009B46A9" w:rsidRPr="00B77C28" w:rsidTr="00DE434D">
        <w:trPr>
          <w:trHeight w:val="560"/>
        </w:trPr>
        <w:tc>
          <w:tcPr>
            <w:tcW w:w="1548" w:type="dxa"/>
            <w:tcBorders>
              <w:top w:val="single" w:sz="8" w:space="0" w:color="4F81BD"/>
              <w:left w:val="single" w:sz="8" w:space="0" w:color="4F81BD"/>
              <w:bottom w:val="single" w:sz="8" w:space="0" w:color="4F81BD"/>
              <w:right w:val="single" w:sz="8" w:space="0" w:color="4F81BD"/>
            </w:tcBorders>
          </w:tcPr>
          <w:p w:rsidR="00D14B40" w:rsidRPr="00B77C28" w:rsidRDefault="00D14B40" w:rsidP="008F04FA">
            <w:pPr>
              <w:spacing w:after="0" w:line="264" w:lineRule="auto"/>
              <w:ind w:right="74"/>
              <w:rPr>
                <w:rFonts w:cs="Calibri"/>
                <w:b/>
                <w:bCs/>
              </w:rPr>
            </w:pPr>
            <w:r w:rsidRPr="00B77C28">
              <w:rPr>
                <w:rFonts w:cs="Calibri"/>
                <w:b/>
                <w:bCs/>
              </w:rPr>
              <w:lastRenderedPageBreak/>
              <w:t>Analysis and Feedback</w:t>
            </w: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CB20B7" w:rsidP="00657A95">
            <w:pPr>
              <w:spacing w:after="0" w:line="264" w:lineRule="auto"/>
              <w:rPr>
                <w:rFonts w:cs="Calibri"/>
              </w:rPr>
            </w:pPr>
            <w:r>
              <w:rPr>
                <w:rFonts w:cs="Calibri"/>
              </w:rPr>
              <w:t>A</w:t>
            </w:r>
            <w:r w:rsidR="00D14B40">
              <w:rPr>
                <w:rFonts w:cs="Calibri"/>
              </w:rPr>
              <w:t>nalyses</w:t>
            </w:r>
            <w:r w:rsidR="00D14B40" w:rsidRPr="00B77C28">
              <w:rPr>
                <w:rFonts w:cs="Calibri"/>
              </w:rPr>
              <w:t xml:space="preserve"> performed by </w:t>
            </w:r>
            <w:r w:rsidR="008D7209">
              <w:rPr>
                <w:rFonts w:cs="Calibri"/>
              </w:rPr>
              <w:t>close call</w:t>
            </w:r>
            <w:r w:rsidR="00D14B40" w:rsidRPr="00B77C28">
              <w:rPr>
                <w:rFonts w:cs="Calibri"/>
              </w:rPr>
              <w:t xml:space="preserve"> </w:t>
            </w:r>
            <w:r w:rsidR="00D14B40">
              <w:rPr>
                <w:rFonts w:cs="Calibri"/>
              </w:rPr>
              <w:t xml:space="preserve">safety </w:t>
            </w:r>
            <w:r w:rsidR="00D14B40" w:rsidRPr="00B77C28">
              <w:rPr>
                <w:rFonts w:cs="Calibri"/>
              </w:rPr>
              <w:t>reporting systems vary and therefore the systems provide different feedback.</w:t>
            </w:r>
          </w:p>
        </w:tc>
        <w:tc>
          <w:tcPr>
            <w:tcW w:w="1800" w:type="dxa"/>
            <w:tcBorders>
              <w:top w:val="single" w:sz="8" w:space="0" w:color="4F81BD"/>
              <w:left w:val="single" w:sz="8" w:space="0" w:color="4F81BD"/>
              <w:bottom w:val="single" w:sz="8" w:space="0" w:color="4F81BD"/>
              <w:right w:val="single" w:sz="8" w:space="0" w:color="4F81BD"/>
            </w:tcBorders>
          </w:tcPr>
          <w:p w:rsidR="00D14B40" w:rsidRPr="00B77C28" w:rsidRDefault="00D14B40" w:rsidP="008F04FA">
            <w:pPr>
              <w:spacing w:after="0" w:line="264" w:lineRule="auto"/>
              <w:rPr>
                <w:rFonts w:cs="Calibri"/>
              </w:rPr>
            </w:pPr>
            <w:r w:rsidRPr="00B77C28">
              <w:rPr>
                <w:rFonts w:cs="Calibri"/>
              </w:rPr>
              <w:t>ERCs analyze individual reports, identify actual or potential problems</w:t>
            </w:r>
            <w:r w:rsidR="00A306F4">
              <w:rPr>
                <w:rFonts w:cs="Calibri"/>
              </w:rPr>
              <w:t>,</w:t>
            </w:r>
            <w:r w:rsidRPr="00B77C28">
              <w:rPr>
                <w:rFonts w:cs="Calibri"/>
              </w:rPr>
              <w:t xml:space="preserve"> and propose solutions for those problems.</w:t>
            </w:r>
          </w:p>
        </w:tc>
        <w:tc>
          <w:tcPr>
            <w:tcW w:w="2160" w:type="dxa"/>
            <w:tcBorders>
              <w:top w:val="single" w:sz="8" w:space="0" w:color="4F81BD"/>
              <w:left w:val="single" w:sz="8" w:space="0" w:color="4F81BD"/>
              <w:bottom w:val="single" w:sz="8" w:space="0" w:color="4F81BD"/>
              <w:right w:val="single" w:sz="8" w:space="0" w:color="4F81BD"/>
            </w:tcBorders>
          </w:tcPr>
          <w:p w:rsidR="00D14B40" w:rsidRPr="00B77C28" w:rsidRDefault="00A6439E" w:rsidP="008F04FA">
            <w:pPr>
              <w:spacing w:after="0" w:line="264" w:lineRule="auto"/>
              <w:rPr>
                <w:rFonts w:cs="Calibri"/>
              </w:rPr>
            </w:pPr>
            <w:r>
              <w:rPr>
                <w:rFonts w:cs="Calibri"/>
              </w:rPr>
              <w:t>NASA performs analysis</w:t>
            </w:r>
            <w:r w:rsidRPr="00B77C28">
              <w:rPr>
                <w:rFonts w:cs="Calibri"/>
              </w:rPr>
              <w:t xml:space="preserve"> to identify defic</w:t>
            </w:r>
            <w:r>
              <w:rPr>
                <w:rFonts w:cs="Calibri"/>
              </w:rPr>
              <w:t>iencies and discrepancies in</w:t>
            </w:r>
            <w:r w:rsidRPr="00B77C28">
              <w:rPr>
                <w:rFonts w:cs="Calibri"/>
              </w:rPr>
              <w:t xml:space="preserve"> aviation system</w:t>
            </w:r>
            <w:r>
              <w:rPr>
                <w:rFonts w:cs="Calibri"/>
              </w:rPr>
              <w:t>s that are</w:t>
            </w:r>
            <w:r w:rsidRPr="00B77C28">
              <w:rPr>
                <w:rFonts w:cs="Calibri"/>
              </w:rPr>
              <w:t xml:space="preserve"> reported to the stakeholders of the aviation industry at-large. All PII or carrier identification is removed. Aggregated, de-identified reports are available </w:t>
            </w:r>
            <w:r>
              <w:rPr>
                <w:rFonts w:cs="Calibri"/>
              </w:rPr>
              <w:t xml:space="preserve">to all stakeholders and the general public </w:t>
            </w:r>
            <w:r w:rsidRPr="00B77C28">
              <w:rPr>
                <w:rFonts w:cs="Calibri"/>
              </w:rPr>
              <w:t xml:space="preserve">on </w:t>
            </w:r>
            <w:r>
              <w:rPr>
                <w:rFonts w:cs="Calibri"/>
              </w:rPr>
              <w:t xml:space="preserve">the </w:t>
            </w:r>
            <w:r w:rsidRPr="00B77C28">
              <w:rPr>
                <w:rFonts w:cs="Calibri"/>
              </w:rPr>
              <w:t>ASRS website.</w:t>
            </w:r>
          </w:p>
        </w:tc>
        <w:tc>
          <w:tcPr>
            <w:tcW w:w="2430" w:type="dxa"/>
            <w:tcBorders>
              <w:top w:val="single" w:sz="8" w:space="0" w:color="4F81BD"/>
              <w:left w:val="single" w:sz="8" w:space="0" w:color="4F81BD"/>
              <w:bottom w:val="single" w:sz="8" w:space="0" w:color="4F81BD"/>
              <w:right w:val="single" w:sz="8" w:space="0" w:color="4F81BD"/>
            </w:tcBorders>
          </w:tcPr>
          <w:p w:rsidR="00CB20B7" w:rsidRDefault="00685D3E" w:rsidP="004F1896">
            <w:pPr>
              <w:spacing w:after="0" w:line="264" w:lineRule="auto"/>
              <w:rPr>
                <w:rFonts w:cs="Calibri"/>
              </w:rPr>
            </w:pPr>
            <w:r w:rsidRPr="00B77C28">
              <w:rPr>
                <w:rFonts w:cs="Calibri"/>
              </w:rPr>
              <w:t xml:space="preserve">Analysis initially performed by </w:t>
            </w:r>
            <w:r>
              <w:rPr>
                <w:rFonts w:cs="Calibri"/>
              </w:rPr>
              <w:t>NASA</w:t>
            </w:r>
            <w:r w:rsidRPr="00B77C28">
              <w:rPr>
                <w:rFonts w:cs="Calibri"/>
              </w:rPr>
              <w:t xml:space="preserve"> through dat</w:t>
            </w:r>
            <w:r>
              <w:rPr>
                <w:rFonts w:cs="Calibri"/>
              </w:rPr>
              <w:t xml:space="preserve">a coding protocols. </w:t>
            </w:r>
            <w:r w:rsidR="00CB20B7">
              <w:rPr>
                <w:rFonts w:cs="Calibri"/>
              </w:rPr>
              <w:t>D</w:t>
            </w:r>
            <w:r w:rsidRPr="00B77C28">
              <w:rPr>
                <w:rFonts w:cs="Calibri"/>
              </w:rPr>
              <w:t>ata</w:t>
            </w:r>
            <w:r>
              <w:rPr>
                <w:rFonts w:cs="Calibri"/>
              </w:rPr>
              <w:t xml:space="preserve"> </w:t>
            </w:r>
            <w:r w:rsidR="00CB20B7">
              <w:rPr>
                <w:rFonts w:cs="Calibri"/>
              </w:rPr>
              <w:t xml:space="preserve">are </w:t>
            </w:r>
            <w:r>
              <w:rPr>
                <w:rFonts w:cs="Calibri"/>
              </w:rPr>
              <w:t>sent</w:t>
            </w:r>
            <w:r w:rsidRPr="00B77C28">
              <w:rPr>
                <w:rFonts w:cs="Calibri"/>
              </w:rPr>
              <w:t xml:space="preserve"> to PRTs housed at the </w:t>
            </w:r>
            <w:r>
              <w:rPr>
                <w:rFonts w:cs="Calibri"/>
              </w:rPr>
              <w:t xml:space="preserve">individual </w:t>
            </w:r>
            <w:r w:rsidRPr="00B77C28">
              <w:rPr>
                <w:rFonts w:cs="Calibri"/>
              </w:rPr>
              <w:t xml:space="preserve">railroads where they are further analyzed. </w:t>
            </w:r>
          </w:p>
          <w:p w:rsidR="00D14B40" w:rsidRPr="00B77C28" w:rsidRDefault="00685D3E" w:rsidP="004F1896">
            <w:pPr>
              <w:spacing w:after="0" w:line="264" w:lineRule="auto"/>
              <w:rPr>
                <w:rFonts w:cs="Calibri"/>
              </w:rPr>
            </w:pPr>
            <w:r w:rsidRPr="00B77C28">
              <w:rPr>
                <w:rFonts w:cs="Calibri"/>
              </w:rPr>
              <w:t>PRTs consist of representatives from management, labor</w:t>
            </w:r>
            <w:r w:rsidR="00A306F4">
              <w:rPr>
                <w:rFonts w:cs="Calibri"/>
              </w:rPr>
              <w:t>,</w:t>
            </w:r>
            <w:r w:rsidRPr="00B77C28">
              <w:rPr>
                <w:rFonts w:cs="Calibri"/>
              </w:rPr>
              <w:t xml:space="preserve"> and the FRA, including front-line employees. PRTs perform root</w:t>
            </w:r>
            <w:r w:rsidR="00CB20B7">
              <w:rPr>
                <w:rFonts w:cs="Calibri"/>
              </w:rPr>
              <w:t>-</w:t>
            </w:r>
            <w:r w:rsidRPr="00B77C28">
              <w:rPr>
                <w:rFonts w:cs="Calibri"/>
              </w:rPr>
              <w:t>cause analysis of each reported incident and make recommendations to management for corrective action. PRTs can also conduct carrier-level analysis of reports to identify patterns and trends.</w:t>
            </w:r>
          </w:p>
        </w:tc>
        <w:tc>
          <w:tcPr>
            <w:tcW w:w="2790" w:type="dxa"/>
            <w:tcBorders>
              <w:top w:val="single" w:sz="8" w:space="0" w:color="4F81BD"/>
              <w:left w:val="single" w:sz="8" w:space="0" w:color="4F81BD"/>
              <w:bottom w:val="single" w:sz="8" w:space="0" w:color="4F81BD"/>
              <w:right w:val="single" w:sz="8" w:space="0" w:color="4F81BD"/>
            </w:tcBorders>
          </w:tcPr>
          <w:p w:rsidR="00CB20B7" w:rsidRDefault="00D14B40" w:rsidP="00FA2EA6">
            <w:pPr>
              <w:spacing w:after="0" w:line="264" w:lineRule="auto"/>
              <w:rPr>
                <w:rFonts w:cs="Calibri"/>
              </w:rPr>
            </w:pPr>
            <w:r w:rsidRPr="00B77C28">
              <w:rPr>
                <w:rFonts w:cs="Calibri"/>
              </w:rPr>
              <w:t>FRA</w:t>
            </w:r>
            <w:r w:rsidR="00CB20B7">
              <w:rPr>
                <w:rFonts w:cs="Calibri"/>
              </w:rPr>
              <w:t>’s</w:t>
            </w:r>
            <w:r w:rsidRPr="00B77C28">
              <w:rPr>
                <w:rFonts w:cs="Calibri"/>
              </w:rPr>
              <w:t xml:space="preserve"> system uses PRTs housed at railroads to analyze reports. </w:t>
            </w:r>
          </w:p>
          <w:p w:rsidR="00CB20B7" w:rsidRDefault="00D14B40" w:rsidP="00FA2EA6">
            <w:pPr>
              <w:spacing w:after="0" w:line="264" w:lineRule="auto"/>
              <w:rPr>
                <w:rFonts w:cs="Calibri"/>
              </w:rPr>
            </w:pPr>
            <w:r w:rsidRPr="00B77C28">
              <w:rPr>
                <w:rFonts w:cs="Calibri"/>
              </w:rPr>
              <w:t>PRTs consist of representatives from management, labor</w:t>
            </w:r>
            <w:r w:rsidR="00FA2EA6">
              <w:rPr>
                <w:rFonts w:cs="Calibri"/>
              </w:rPr>
              <w:t xml:space="preserve">, </w:t>
            </w:r>
            <w:r w:rsidRPr="00B77C28">
              <w:rPr>
                <w:rFonts w:cs="Calibri"/>
              </w:rPr>
              <w:t xml:space="preserve">and the FRA, including front-line employees. </w:t>
            </w:r>
          </w:p>
          <w:p w:rsidR="00CB20B7" w:rsidRDefault="00D14B40" w:rsidP="00FA2EA6">
            <w:pPr>
              <w:spacing w:after="0" w:line="264" w:lineRule="auto"/>
              <w:rPr>
                <w:rFonts w:cs="Calibri"/>
              </w:rPr>
            </w:pPr>
            <w:r w:rsidRPr="00B77C28">
              <w:rPr>
                <w:rFonts w:cs="Calibri"/>
              </w:rPr>
              <w:t>PRTs perform root</w:t>
            </w:r>
            <w:r w:rsidR="00CB20B7">
              <w:rPr>
                <w:rFonts w:cs="Calibri"/>
              </w:rPr>
              <w:t>-</w:t>
            </w:r>
            <w:r w:rsidRPr="00B77C28">
              <w:rPr>
                <w:rFonts w:cs="Calibri"/>
              </w:rPr>
              <w:t xml:space="preserve">cause analysis of each reported incident and make recommendations to management for corrective action. </w:t>
            </w:r>
          </w:p>
          <w:p w:rsidR="00D14B40" w:rsidRPr="00B77C28" w:rsidRDefault="00D14B40" w:rsidP="00FA2EA6">
            <w:pPr>
              <w:spacing w:after="0" w:line="264" w:lineRule="auto"/>
              <w:rPr>
                <w:rFonts w:cs="Calibri"/>
              </w:rPr>
            </w:pPr>
            <w:r w:rsidRPr="00B77C28">
              <w:rPr>
                <w:rFonts w:cs="Calibri"/>
              </w:rPr>
              <w:t>PRTs can also conduct carrier-level analysis of reports to identify patterns and trends. In addition</w:t>
            </w:r>
            <w:r w:rsidR="00FA2EA6">
              <w:rPr>
                <w:rFonts w:cs="Calibri"/>
              </w:rPr>
              <w:t>,</w:t>
            </w:r>
            <w:r w:rsidRPr="00B77C28">
              <w:rPr>
                <w:rFonts w:cs="Calibri"/>
              </w:rPr>
              <w:t xml:space="preserve"> C</w:t>
            </w:r>
            <w:r w:rsidRPr="00947533">
              <w:rPr>
                <w:rFonts w:cs="Calibri"/>
                <w:vertAlign w:val="superscript"/>
              </w:rPr>
              <w:t>3</w:t>
            </w:r>
            <w:r w:rsidRPr="00B77C28">
              <w:rPr>
                <w:rFonts w:cs="Calibri"/>
              </w:rPr>
              <w:t>RS analyzes and reports on agency and industry trends.</w:t>
            </w:r>
          </w:p>
        </w:tc>
      </w:tr>
      <w:tr w:rsidR="009B46A9" w:rsidRPr="00B77C28" w:rsidTr="00DE434D">
        <w:trPr>
          <w:cantSplit/>
          <w:trHeight w:val="1077"/>
        </w:trPr>
        <w:tc>
          <w:tcPr>
            <w:tcW w:w="1548" w:type="dxa"/>
            <w:tcBorders>
              <w:top w:val="single" w:sz="8" w:space="0" w:color="4F81BD"/>
              <w:bottom w:val="single" w:sz="8" w:space="0" w:color="4F81BD"/>
              <w:right w:val="single" w:sz="8" w:space="0" w:color="4F81BD"/>
            </w:tcBorders>
          </w:tcPr>
          <w:p w:rsidR="00D14B40" w:rsidRPr="00B77C28" w:rsidRDefault="00D14B40" w:rsidP="00BD46F4">
            <w:pPr>
              <w:spacing w:after="0" w:line="264" w:lineRule="auto"/>
              <w:ind w:right="74"/>
              <w:rPr>
                <w:rFonts w:cs="Calibri"/>
                <w:b/>
                <w:bCs/>
              </w:rPr>
            </w:pPr>
            <w:r w:rsidRPr="00B77C28">
              <w:rPr>
                <w:rFonts w:cs="Calibri"/>
                <w:b/>
                <w:bCs/>
              </w:rPr>
              <w:lastRenderedPageBreak/>
              <w:t>Stakeholder Involvement and Empower</w:t>
            </w:r>
            <w:r w:rsidR="00FA2EA6">
              <w:rPr>
                <w:rFonts w:cs="Calibri"/>
                <w:b/>
                <w:bCs/>
              </w:rPr>
              <w:t>-</w:t>
            </w:r>
            <w:proofErr w:type="spellStart"/>
            <w:r w:rsidRPr="00B77C28">
              <w:rPr>
                <w:rFonts w:cs="Calibri"/>
                <w:b/>
                <w:bCs/>
              </w:rPr>
              <w:t>ment</w:t>
            </w:r>
            <w:proofErr w:type="spellEnd"/>
          </w:p>
          <w:p w:rsidR="00D14B40" w:rsidRPr="00B77C28" w:rsidRDefault="00D14B40" w:rsidP="00BD46F4">
            <w:pPr>
              <w:spacing w:after="0" w:line="264" w:lineRule="auto"/>
              <w:ind w:right="74"/>
              <w:rPr>
                <w:rFonts w:cs="Calibri"/>
                <w:b/>
                <w:bCs/>
              </w:rPr>
            </w:pPr>
          </w:p>
          <w:p w:rsidR="00D14B40" w:rsidRPr="00B77C28" w:rsidRDefault="00D14B40" w:rsidP="00BD46F4">
            <w:pPr>
              <w:spacing w:after="0" w:line="264" w:lineRule="auto"/>
              <w:ind w:right="74"/>
              <w:rPr>
                <w:rFonts w:cs="Calibri"/>
                <w:b/>
                <w:bCs/>
              </w:rPr>
            </w:pPr>
          </w:p>
          <w:p w:rsidR="00D14B40" w:rsidRPr="00B77C28" w:rsidRDefault="00D14B40" w:rsidP="00BD46F4">
            <w:pPr>
              <w:spacing w:after="0" w:line="264" w:lineRule="auto"/>
              <w:ind w:right="74"/>
              <w:rPr>
                <w:rFonts w:cs="Calibri"/>
                <w:b/>
                <w:bCs/>
              </w:rPr>
            </w:pPr>
          </w:p>
          <w:p w:rsidR="00D14B40" w:rsidRPr="00B77C28" w:rsidRDefault="00D14B40" w:rsidP="00BD46F4">
            <w:pPr>
              <w:spacing w:after="0" w:line="264" w:lineRule="auto"/>
              <w:ind w:right="74"/>
              <w:rPr>
                <w:rFonts w:cs="Calibri"/>
                <w:b/>
                <w:bCs/>
              </w:rPr>
            </w:pPr>
          </w:p>
          <w:p w:rsidR="00D14B40" w:rsidRPr="00B77C28" w:rsidRDefault="00D14B40" w:rsidP="00BD46F4">
            <w:pPr>
              <w:spacing w:after="0" w:line="264" w:lineRule="auto"/>
              <w:ind w:right="74"/>
              <w:rPr>
                <w:rFonts w:cs="Calibri"/>
                <w:b/>
                <w:bCs/>
              </w:rPr>
            </w:pPr>
          </w:p>
          <w:p w:rsidR="00D14B40" w:rsidRPr="00B77C28" w:rsidRDefault="00D14B40" w:rsidP="00BD46F4">
            <w:pPr>
              <w:spacing w:after="0" w:line="264" w:lineRule="auto"/>
              <w:ind w:right="74"/>
              <w:rPr>
                <w:rFonts w:cs="Calibri"/>
                <w:b/>
                <w:bCs/>
              </w:rPr>
            </w:pPr>
          </w:p>
          <w:p w:rsidR="00D14B40" w:rsidRPr="00B77C28" w:rsidRDefault="00D14B40" w:rsidP="00BD46F4">
            <w:pPr>
              <w:spacing w:after="0" w:line="264" w:lineRule="auto"/>
              <w:ind w:right="74"/>
              <w:rPr>
                <w:rFonts w:cs="Calibri"/>
                <w:b/>
                <w:bCs/>
              </w:rPr>
            </w:pP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D14B40">
            <w:pPr>
              <w:spacing w:after="0" w:line="264" w:lineRule="auto"/>
              <w:rPr>
                <w:rFonts w:cs="Calibri"/>
              </w:rPr>
            </w:pPr>
            <w:r>
              <w:rPr>
                <w:rFonts w:cs="Calibri"/>
              </w:rPr>
              <w:t>All four systems</w:t>
            </w:r>
            <w:r w:rsidRPr="00B77C28">
              <w:rPr>
                <w:rFonts w:cs="Calibri"/>
              </w:rPr>
              <w:t xml:space="preserve"> have actively engaged all industry stakeholders in the process. The confidential nature of the reporting systems gives equal priority to reports made by any individual, regardless of position within an organization. </w:t>
            </w:r>
          </w:p>
          <w:p w:rsidR="00D14B40" w:rsidRPr="00B77C28" w:rsidRDefault="00D14B40">
            <w:pPr>
              <w:spacing w:after="0" w:line="264" w:lineRule="auto"/>
              <w:rPr>
                <w:rFonts w:cs="Calibri"/>
              </w:rPr>
            </w:pPr>
          </w:p>
          <w:p w:rsidR="00D14B40" w:rsidRPr="00B77C28" w:rsidRDefault="00D14B40">
            <w:pPr>
              <w:spacing w:after="0" w:line="264" w:lineRule="auto"/>
              <w:rPr>
                <w:rFonts w:cs="Calibri"/>
              </w:rPr>
            </w:pPr>
          </w:p>
        </w:tc>
        <w:tc>
          <w:tcPr>
            <w:tcW w:w="1800" w:type="dxa"/>
            <w:tcBorders>
              <w:top w:val="single" w:sz="8" w:space="0" w:color="4F81BD"/>
              <w:left w:val="single" w:sz="8" w:space="0" w:color="4F81BD"/>
              <w:bottom w:val="single" w:sz="8" w:space="0" w:color="4F81BD"/>
              <w:right w:val="single" w:sz="8" w:space="0" w:color="4F81BD"/>
            </w:tcBorders>
          </w:tcPr>
          <w:p w:rsidR="00D14B40" w:rsidRPr="00B77C28" w:rsidRDefault="00D14B40">
            <w:pPr>
              <w:spacing w:after="0" w:line="264" w:lineRule="auto"/>
              <w:rPr>
                <w:rFonts w:cs="Calibri"/>
              </w:rPr>
            </w:pPr>
            <w:r w:rsidRPr="00B77C28">
              <w:rPr>
                <w:rFonts w:cs="Calibri"/>
              </w:rPr>
              <w:t>All employees covered under the implementing MOU can report safety concerns. All reports are given equal weight. The ERC structure involves multiple stakeholders in the analysis of reports.</w:t>
            </w:r>
          </w:p>
        </w:tc>
        <w:tc>
          <w:tcPr>
            <w:tcW w:w="2160" w:type="dxa"/>
            <w:tcBorders>
              <w:top w:val="single" w:sz="8" w:space="0" w:color="4F81BD"/>
              <w:left w:val="single" w:sz="8" w:space="0" w:color="4F81BD"/>
              <w:bottom w:val="single" w:sz="8" w:space="0" w:color="4F81BD"/>
              <w:right w:val="single" w:sz="8" w:space="0" w:color="4F81BD"/>
            </w:tcBorders>
          </w:tcPr>
          <w:p w:rsidR="00D14B40" w:rsidRPr="00B77C28" w:rsidRDefault="00D14B40">
            <w:pPr>
              <w:spacing w:after="0" w:line="264" w:lineRule="auto"/>
              <w:rPr>
                <w:rFonts w:cs="Calibri"/>
              </w:rPr>
            </w:pPr>
            <w:r w:rsidRPr="00B77C28">
              <w:rPr>
                <w:rFonts w:cs="Calibri"/>
              </w:rPr>
              <w:t>Anyone involved with safety-critical operations can report safety concerns. All reports are given equal weight.</w:t>
            </w:r>
          </w:p>
          <w:p w:rsidR="00D14B40" w:rsidRPr="00B77C28" w:rsidRDefault="00685D3E">
            <w:pPr>
              <w:spacing w:after="0" w:line="264" w:lineRule="auto"/>
              <w:rPr>
                <w:rFonts w:cs="Calibri"/>
              </w:rPr>
            </w:pPr>
            <w:r w:rsidRPr="00B77C28">
              <w:rPr>
                <w:rFonts w:cs="Calibri"/>
              </w:rPr>
              <w:t>Results are reported industry-wide</w:t>
            </w:r>
            <w:r>
              <w:rPr>
                <w:rFonts w:cs="Calibri"/>
              </w:rPr>
              <w:t xml:space="preserve"> through alert bulletins, newsletters, teleconferences</w:t>
            </w:r>
            <w:r w:rsidR="00FA2EA6">
              <w:rPr>
                <w:rFonts w:cs="Calibri"/>
              </w:rPr>
              <w:t>,</w:t>
            </w:r>
            <w:r>
              <w:rPr>
                <w:rFonts w:cs="Calibri"/>
              </w:rPr>
              <w:t xml:space="preserve"> and participation in industry and government forums.</w:t>
            </w:r>
          </w:p>
        </w:tc>
        <w:tc>
          <w:tcPr>
            <w:tcW w:w="2430" w:type="dxa"/>
            <w:tcBorders>
              <w:top w:val="single" w:sz="8" w:space="0" w:color="4F81BD"/>
              <w:left w:val="single" w:sz="8" w:space="0" w:color="4F81BD"/>
              <w:bottom w:val="single" w:sz="8" w:space="0" w:color="4F81BD"/>
              <w:right w:val="single" w:sz="8" w:space="0" w:color="4F81BD"/>
            </w:tcBorders>
          </w:tcPr>
          <w:p w:rsidR="00D14B40" w:rsidRPr="00B77C28" w:rsidRDefault="00B21B3A" w:rsidP="004C50D3">
            <w:pPr>
              <w:spacing w:after="0" w:line="264" w:lineRule="auto"/>
              <w:rPr>
                <w:rFonts w:cs="Calibri"/>
              </w:rPr>
            </w:pPr>
            <w:r w:rsidRPr="00B77C28">
              <w:rPr>
                <w:rFonts w:cs="Calibri"/>
              </w:rPr>
              <w:t xml:space="preserve">Any employee </w:t>
            </w:r>
            <w:r>
              <w:rPr>
                <w:rFonts w:cs="Calibri"/>
              </w:rPr>
              <w:t xml:space="preserve">covered under the implementing MOU </w:t>
            </w:r>
            <w:r w:rsidRPr="00B77C28">
              <w:rPr>
                <w:rFonts w:cs="Calibri"/>
              </w:rPr>
              <w:t>can report safety concerns</w:t>
            </w:r>
            <w:r>
              <w:rPr>
                <w:rFonts w:cs="Calibri"/>
              </w:rPr>
              <w:t xml:space="preserve"> without fear of retaliation or discipline</w:t>
            </w:r>
            <w:r w:rsidRPr="00B77C28">
              <w:rPr>
                <w:rFonts w:cs="Calibri"/>
              </w:rPr>
              <w:t xml:space="preserve">. All reports are given equal weight. PRT structure involves all stakeholders in the analysis of reports, empowering those involved to put their unique perspectives and experience to work improving safety conditions. Trends are not reported beyond the individual </w:t>
            </w:r>
            <w:r>
              <w:rPr>
                <w:rFonts w:cs="Calibri"/>
              </w:rPr>
              <w:t>railroad</w:t>
            </w:r>
            <w:r w:rsidR="00FE086D">
              <w:rPr>
                <w:rFonts w:cs="Calibri"/>
              </w:rPr>
              <w:t xml:space="preserve"> in most cases</w:t>
            </w:r>
            <w:r w:rsidR="00FA2EA6">
              <w:rPr>
                <w:rFonts w:cs="Calibri"/>
              </w:rPr>
              <w:t>.</w:t>
            </w:r>
          </w:p>
        </w:tc>
        <w:tc>
          <w:tcPr>
            <w:tcW w:w="2790" w:type="dxa"/>
            <w:tcBorders>
              <w:top w:val="single" w:sz="8" w:space="0" w:color="4F81BD"/>
              <w:left w:val="single" w:sz="8" w:space="0" w:color="4F81BD"/>
              <w:bottom w:val="single" w:sz="8" w:space="0" w:color="4F81BD"/>
            </w:tcBorders>
          </w:tcPr>
          <w:p w:rsidR="00D14B40" w:rsidRPr="00B77C28" w:rsidRDefault="00D14B40" w:rsidP="004C50D3">
            <w:pPr>
              <w:spacing w:after="0" w:line="264" w:lineRule="auto"/>
              <w:rPr>
                <w:rFonts w:cs="Calibri"/>
              </w:rPr>
            </w:pPr>
            <w:r w:rsidRPr="00B77C28">
              <w:rPr>
                <w:rFonts w:cs="Calibri"/>
              </w:rPr>
              <w:t xml:space="preserve">Any employee </w:t>
            </w:r>
            <w:r>
              <w:rPr>
                <w:rFonts w:cs="Calibri"/>
              </w:rPr>
              <w:t xml:space="preserve">covered under the implementing MOU </w:t>
            </w:r>
            <w:r w:rsidRPr="00B77C28">
              <w:rPr>
                <w:rFonts w:cs="Calibri"/>
              </w:rPr>
              <w:t>can report safety concerns</w:t>
            </w:r>
            <w:r>
              <w:rPr>
                <w:rFonts w:cs="Calibri"/>
              </w:rPr>
              <w:t xml:space="preserve"> without fear of retaliation or discipline</w:t>
            </w:r>
            <w:r w:rsidRPr="00B77C28">
              <w:rPr>
                <w:rFonts w:cs="Calibri"/>
              </w:rPr>
              <w:t xml:space="preserve">. All reports are given equal weight. PRT structure involves all stakeholders in the analysis of reports, empowering those involved to put their unique perspectives and experience to work improving safety conditions. Trends are not reported beyond the individual </w:t>
            </w:r>
            <w:r>
              <w:rPr>
                <w:rFonts w:cs="Calibri"/>
              </w:rPr>
              <w:t>railroad</w:t>
            </w:r>
            <w:r w:rsidRPr="00B77C28">
              <w:rPr>
                <w:rFonts w:cs="Calibri"/>
              </w:rPr>
              <w:t xml:space="preserve"> in most cases.</w:t>
            </w:r>
          </w:p>
        </w:tc>
      </w:tr>
    </w:tbl>
    <w:p w:rsidR="001C45A2" w:rsidRDefault="001C45A2" w:rsidP="004C37F6">
      <w:pPr>
        <w:rPr>
          <w:rFonts w:cs="Calibri"/>
        </w:rPr>
        <w:sectPr w:rsidR="001C45A2" w:rsidSect="003520BE">
          <w:footerReference w:type="default" r:id="rId15"/>
          <w:pgSz w:w="15840" w:h="12240" w:orient="landscape" w:code="1"/>
          <w:pgMar w:top="1440" w:right="1440" w:bottom="1440" w:left="1440" w:header="720" w:footer="720" w:gutter="0"/>
          <w:cols w:space="720"/>
          <w:docGrid w:linePitch="360"/>
        </w:sectPr>
      </w:pPr>
    </w:p>
    <w:p w:rsidR="000850EF" w:rsidRDefault="000850EF" w:rsidP="004C37F6">
      <w:pPr>
        <w:rPr>
          <w:rFonts w:cs="Calibri"/>
        </w:rPr>
        <w:sectPr w:rsidR="000850EF" w:rsidSect="001C45A2">
          <w:type w:val="continuous"/>
          <w:pgSz w:w="15840" w:h="12240" w:orient="landscape" w:code="1"/>
          <w:pgMar w:top="1440" w:right="1440" w:bottom="1440" w:left="1440" w:header="720" w:footer="720" w:gutter="0"/>
          <w:cols w:space="720"/>
          <w:docGrid w:linePitch="360"/>
        </w:sectPr>
      </w:pPr>
    </w:p>
    <w:p w:rsidR="001D1DC5" w:rsidRPr="00DB6FFF" w:rsidRDefault="005D6533" w:rsidP="00EA17F4">
      <w:pPr>
        <w:pStyle w:val="Heading3"/>
        <w:rPr>
          <w:rFonts w:ascii="Calibri" w:hAnsi="Calibri" w:cs="Calibri"/>
        </w:rPr>
      </w:pPr>
      <w:bookmarkStart w:id="33" w:name="_Toc316336501"/>
      <w:bookmarkStart w:id="34" w:name="_Toc317097304"/>
      <w:bookmarkStart w:id="35" w:name="_Toc317106146"/>
      <w:r w:rsidRPr="00DB6FFF">
        <w:rPr>
          <w:rFonts w:ascii="Calibri" w:hAnsi="Calibri" w:cs="Calibri"/>
        </w:rPr>
        <w:lastRenderedPageBreak/>
        <w:t>Application to the</w:t>
      </w:r>
      <w:r w:rsidR="001D1DC5" w:rsidRPr="00DB6FFF">
        <w:rPr>
          <w:rFonts w:ascii="Calibri" w:hAnsi="Calibri" w:cs="Calibri"/>
        </w:rPr>
        <w:t xml:space="preserve"> Rail Transit Industry</w:t>
      </w:r>
      <w:bookmarkEnd w:id="33"/>
      <w:bookmarkEnd w:id="34"/>
      <w:bookmarkEnd w:id="35"/>
    </w:p>
    <w:p w:rsidR="005D6533" w:rsidRPr="00DB6FFF" w:rsidRDefault="00D850D8" w:rsidP="004C37F6">
      <w:pPr>
        <w:rPr>
          <w:rFonts w:cs="Calibri"/>
        </w:rPr>
      </w:pPr>
      <w:r w:rsidRPr="00DB6FFF">
        <w:rPr>
          <w:rFonts w:cs="Calibri"/>
        </w:rPr>
        <w:t xml:space="preserve">The working group finds that the </w:t>
      </w:r>
      <w:r w:rsidR="005D6533" w:rsidRPr="00DB6FFF">
        <w:rPr>
          <w:rFonts w:cs="Calibri"/>
        </w:rPr>
        <w:t>C</w:t>
      </w:r>
      <w:r w:rsidR="005D6533" w:rsidRPr="00DB6FFF">
        <w:rPr>
          <w:rFonts w:cs="Calibri"/>
          <w:vertAlign w:val="superscript"/>
        </w:rPr>
        <w:t>3</w:t>
      </w:r>
      <w:r w:rsidR="005D6533" w:rsidRPr="00DB6FFF">
        <w:rPr>
          <w:rFonts w:cs="Calibri"/>
        </w:rPr>
        <w:t xml:space="preserve">RS </w:t>
      </w:r>
      <w:r w:rsidR="00DB3789" w:rsidRPr="00DB6FFF">
        <w:rPr>
          <w:rFonts w:cs="Calibri"/>
        </w:rPr>
        <w:t>confidential, non-punitive</w:t>
      </w:r>
      <w:r w:rsidR="008F0B46">
        <w:rPr>
          <w:rFonts w:cs="Calibri"/>
        </w:rPr>
        <w:t xml:space="preserve">, </w:t>
      </w:r>
      <w:r w:rsidR="008D7209">
        <w:rPr>
          <w:rFonts w:cs="Calibri"/>
        </w:rPr>
        <w:t>close call</w:t>
      </w:r>
      <w:r w:rsidR="008F0B46">
        <w:rPr>
          <w:rFonts w:cs="Calibri"/>
        </w:rPr>
        <w:t xml:space="preserve"> </w:t>
      </w:r>
      <w:r w:rsidR="00C17469">
        <w:rPr>
          <w:rFonts w:cs="Calibri"/>
        </w:rPr>
        <w:t xml:space="preserve">safety </w:t>
      </w:r>
      <w:r w:rsidR="008F0B46">
        <w:rPr>
          <w:rFonts w:cs="Calibri"/>
        </w:rPr>
        <w:t>reporting system</w:t>
      </w:r>
      <w:r w:rsidRPr="00DB6FFF">
        <w:rPr>
          <w:rFonts w:cs="Calibri"/>
        </w:rPr>
        <w:t xml:space="preserve"> model used by FRA is well</w:t>
      </w:r>
      <w:r w:rsidR="00DB3789" w:rsidRPr="00DB6FFF">
        <w:rPr>
          <w:rFonts w:cs="Calibri"/>
        </w:rPr>
        <w:t xml:space="preserve"> </w:t>
      </w:r>
      <w:r w:rsidRPr="00DB6FFF">
        <w:rPr>
          <w:rFonts w:cs="Calibri"/>
        </w:rPr>
        <w:t>suited for adaptation to the rail transit</w:t>
      </w:r>
      <w:r w:rsidR="00B75D7C" w:rsidRPr="00DB6FFF">
        <w:rPr>
          <w:rFonts w:cs="Calibri"/>
        </w:rPr>
        <w:t xml:space="preserve"> industry. We agree with </w:t>
      </w:r>
      <w:r w:rsidRPr="00DB6FFF">
        <w:rPr>
          <w:rFonts w:cs="Calibri"/>
        </w:rPr>
        <w:t xml:space="preserve">the general </w:t>
      </w:r>
      <w:r w:rsidR="00DB3789" w:rsidRPr="00DB6FFF">
        <w:rPr>
          <w:rFonts w:cs="Calibri"/>
        </w:rPr>
        <w:t xml:space="preserve">system elements </w:t>
      </w:r>
      <w:r w:rsidRPr="00DB6FFF">
        <w:rPr>
          <w:rFonts w:cs="Calibri"/>
        </w:rPr>
        <w:t xml:space="preserve">outlined </w:t>
      </w:r>
      <w:r w:rsidR="00CB20B7">
        <w:rPr>
          <w:rFonts w:cs="Calibri"/>
        </w:rPr>
        <w:t>in Table 1</w:t>
      </w:r>
      <w:r w:rsidRPr="00DB6FFF">
        <w:rPr>
          <w:rFonts w:cs="Calibri"/>
        </w:rPr>
        <w:t>, and support the general concept of</w:t>
      </w:r>
      <w:r w:rsidR="004C50D3">
        <w:rPr>
          <w:rFonts w:cs="Calibri"/>
        </w:rPr>
        <w:t xml:space="preserve"> event</w:t>
      </w:r>
      <w:r w:rsidRPr="00DB6FFF">
        <w:rPr>
          <w:rFonts w:cs="Calibri"/>
        </w:rPr>
        <w:t xml:space="preserve"> analysis by Peer Review Teams</w:t>
      </w:r>
      <w:r w:rsidR="00FC0A01" w:rsidRPr="00DB6FFF">
        <w:rPr>
          <w:rFonts w:cs="Calibri"/>
        </w:rPr>
        <w:t xml:space="preserve"> (PRTs)</w:t>
      </w:r>
      <w:r w:rsidRPr="00DB6FFF">
        <w:rPr>
          <w:rFonts w:cs="Calibri"/>
        </w:rPr>
        <w:t xml:space="preserve"> </w:t>
      </w:r>
      <w:r w:rsidR="00B75D7C" w:rsidRPr="00DB6FFF">
        <w:rPr>
          <w:rFonts w:cs="Calibri"/>
        </w:rPr>
        <w:t xml:space="preserve">with appropriate stakeholder representation </w:t>
      </w:r>
      <w:r w:rsidRPr="00DB6FFF">
        <w:rPr>
          <w:rFonts w:cs="Calibri"/>
        </w:rPr>
        <w:t>hou</w:t>
      </w:r>
      <w:r w:rsidR="00B75D7C" w:rsidRPr="00DB6FFF">
        <w:rPr>
          <w:rFonts w:cs="Calibri"/>
        </w:rPr>
        <w:t xml:space="preserve">sed at the </w:t>
      </w:r>
      <w:r w:rsidR="00FC0A01" w:rsidRPr="00DB6FFF">
        <w:rPr>
          <w:rFonts w:cs="Calibri"/>
        </w:rPr>
        <w:t>RTA</w:t>
      </w:r>
      <w:r w:rsidR="00B75D7C" w:rsidRPr="00DB6FFF">
        <w:rPr>
          <w:rFonts w:cs="Calibri"/>
        </w:rPr>
        <w:t xml:space="preserve"> level</w:t>
      </w:r>
      <w:r w:rsidRPr="00DB6FFF">
        <w:rPr>
          <w:rFonts w:cs="Calibri"/>
        </w:rPr>
        <w:t>.</w:t>
      </w:r>
      <w:r w:rsidR="00EC2196">
        <w:rPr>
          <w:rFonts w:cs="Calibri"/>
        </w:rPr>
        <w:t xml:space="preserve"> However, </w:t>
      </w:r>
      <w:r w:rsidR="00E45C8F" w:rsidRPr="00DB6FFF">
        <w:rPr>
          <w:rFonts w:cs="Calibri"/>
        </w:rPr>
        <w:t xml:space="preserve">significant differences </w:t>
      </w:r>
      <w:r w:rsidR="00FA2EA6">
        <w:rPr>
          <w:rFonts w:cs="Calibri"/>
        </w:rPr>
        <w:t xml:space="preserve">exist </w:t>
      </w:r>
      <w:r w:rsidR="00E45C8F" w:rsidRPr="00DB6FFF">
        <w:rPr>
          <w:rFonts w:cs="Calibri"/>
        </w:rPr>
        <w:t xml:space="preserve">between </w:t>
      </w:r>
      <w:r w:rsidR="00A17561">
        <w:rPr>
          <w:rFonts w:cs="Calibri"/>
        </w:rPr>
        <w:t xml:space="preserve">FRA-regulated </w:t>
      </w:r>
      <w:r w:rsidR="00E45C8F" w:rsidRPr="00DB6FFF">
        <w:rPr>
          <w:rFonts w:cs="Calibri"/>
        </w:rPr>
        <w:t>railroad</w:t>
      </w:r>
      <w:r w:rsidR="00DB3789" w:rsidRPr="00DB6FFF">
        <w:rPr>
          <w:rFonts w:cs="Calibri"/>
        </w:rPr>
        <w:t>s</w:t>
      </w:r>
      <w:r w:rsidR="00E45C8F" w:rsidRPr="00DB6FFF">
        <w:rPr>
          <w:rFonts w:cs="Calibri"/>
        </w:rPr>
        <w:t xml:space="preserve"> and </w:t>
      </w:r>
      <w:r w:rsidR="00712E6E" w:rsidRPr="00DB6FFF">
        <w:rPr>
          <w:rFonts w:cs="Calibri"/>
        </w:rPr>
        <w:t>RTAs</w:t>
      </w:r>
      <w:r w:rsidR="00DB3789" w:rsidRPr="00DB6FFF">
        <w:rPr>
          <w:rFonts w:cs="Calibri"/>
        </w:rPr>
        <w:t xml:space="preserve"> </w:t>
      </w:r>
      <w:r w:rsidR="00E45C8F" w:rsidRPr="00DB6FFF">
        <w:rPr>
          <w:rFonts w:cs="Calibri"/>
        </w:rPr>
        <w:t>that will need to be addressed in the structure of a</w:t>
      </w:r>
      <w:r w:rsidR="00CB20B7">
        <w:rPr>
          <w:rFonts w:cs="Calibri"/>
        </w:rPr>
        <w:t>n</w:t>
      </w:r>
      <w:r w:rsidR="00E45C8F" w:rsidRPr="00DB6FFF">
        <w:rPr>
          <w:rFonts w:cs="Calibri"/>
        </w:rPr>
        <w:t xml:space="preserve"> FTA </w:t>
      </w:r>
      <w:r w:rsidR="00DB3789" w:rsidRPr="00DB6FFF">
        <w:rPr>
          <w:rFonts w:cs="Calibri"/>
        </w:rPr>
        <w:t>confidential, non-punitive</w:t>
      </w:r>
      <w:r w:rsidR="005B1383">
        <w:rPr>
          <w:rFonts w:cs="Calibri"/>
        </w:rPr>
        <w:t xml:space="preserve">, </w:t>
      </w:r>
      <w:r w:rsidR="008D7209">
        <w:rPr>
          <w:rFonts w:cs="Calibri"/>
        </w:rPr>
        <w:t>close call</w:t>
      </w:r>
      <w:r w:rsidR="005B1383">
        <w:rPr>
          <w:rFonts w:cs="Calibri"/>
        </w:rPr>
        <w:t xml:space="preserve"> </w:t>
      </w:r>
      <w:r w:rsidR="00046A8D">
        <w:rPr>
          <w:rFonts w:cs="Calibri"/>
        </w:rPr>
        <w:t xml:space="preserve">safety </w:t>
      </w:r>
      <w:r w:rsidR="00E45C8F" w:rsidRPr="00DB6FFF">
        <w:rPr>
          <w:rFonts w:cs="Calibri"/>
        </w:rPr>
        <w:t xml:space="preserve">reporting </w:t>
      </w:r>
      <w:r w:rsidR="00712E6E" w:rsidRPr="00DB6FFF">
        <w:rPr>
          <w:rFonts w:cs="Calibri"/>
        </w:rPr>
        <w:t>pilot.</w:t>
      </w:r>
    </w:p>
    <w:p w:rsidR="005D6533" w:rsidRPr="00DB6FFF" w:rsidRDefault="005D6533" w:rsidP="00BD46F4">
      <w:pPr>
        <w:pStyle w:val="Heading4"/>
        <w:rPr>
          <w:rFonts w:ascii="Calibri" w:hAnsi="Calibri" w:cs="Calibri"/>
        </w:rPr>
      </w:pPr>
      <w:r w:rsidRPr="00DB6FFF">
        <w:rPr>
          <w:rFonts w:ascii="Calibri" w:hAnsi="Calibri" w:cs="Calibri"/>
        </w:rPr>
        <w:t>Key Issues</w:t>
      </w:r>
    </w:p>
    <w:p w:rsidR="00E45C8F" w:rsidRPr="00DB6FFF" w:rsidRDefault="00FA2EA6" w:rsidP="007310E6">
      <w:pPr>
        <w:pStyle w:val="ListParagraph"/>
        <w:numPr>
          <w:ilvl w:val="0"/>
          <w:numId w:val="3"/>
        </w:numPr>
        <w:rPr>
          <w:rFonts w:cs="Calibri"/>
        </w:rPr>
      </w:pPr>
      <w:r>
        <w:rPr>
          <w:rFonts w:cs="Calibri"/>
        </w:rPr>
        <w:t>W</w:t>
      </w:r>
      <w:r w:rsidR="005347AF">
        <w:rPr>
          <w:rFonts w:cs="Calibri"/>
        </w:rPr>
        <w:t>riting and establis</w:t>
      </w:r>
      <w:r>
        <w:rPr>
          <w:rFonts w:cs="Calibri"/>
        </w:rPr>
        <w:t>hing</w:t>
      </w:r>
      <w:r w:rsidR="005347AF">
        <w:rPr>
          <w:rFonts w:cs="Calibri"/>
        </w:rPr>
        <w:t xml:space="preserve"> an implementing</w:t>
      </w:r>
      <w:r w:rsidR="00E45C8F" w:rsidRPr="00DB6FFF">
        <w:rPr>
          <w:rFonts w:cs="Calibri"/>
        </w:rPr>
        <w:t xml:space="preserve"> </w:t>
      </w:r>
      <w:r w:rsidR="009715A1">
        <w:rPr>
          <w:rFonts w:cs="Calibri"/>
        </w:rPr>
        <w:t>MOU</w:t>
      </w:r>
      <w:r w:rsidR="00E45C8F" w:rsidRPr="00DB6FFF">
        <w:rPr>
          <w:rFonts w:cs="Calibri"/>
        </w:rPr>
        <w:t xml:space="preserve"> is a critical step in </w:t>
      </w:r>
      <w:r w:rsidR="00CB20B7">
        <w:rPr>
          <w:rFonts w:cs="Calibri"/>
        </w:rPr>
        <w:t>creating</w:t>
      </w:r>
      <w:r w:rsidR="00E45C8F" w:rsidRPr="00DB6FFF">
        <w:rPr>
          <w:rFonts w:cs="Calibri"/>
        </w:rPr>
        <w:t xml:space="preserve"> a </w:t>
      </w:r>
      <w:r w:rsidR="00335498" w:rsidRPr="00DB6FFF">
        <w:rPr>
          <w:rFonts w:cs="Calibri"/>
        </w:rPr>
        <w:t>confidential, non-punitive</w:t>
      </w:r>
      <w:r w:rsidR="008F0B46">
        <w:rPr>
          <w:rFonts w:cs="Calibri"/>
        </w:rPr>
        <w:t xml:space="preserve">, </w:t>
      </w:r>
      <w:r w:rsidR="008D7209">
        <w:rPr>
          <w:rFonts w:cs="Calibri"/>
        </w:rPr>
        <w:t>close call</w:t>
      </w:r>
      <w:r w:rsidR="008F0B46">
        <w:rPr>
          <w:rFonts w:cs="Calibri"/>
        </w:rPr>
        <w:t xml:space="preserve"> </w:t>
      </w:r>
      <w:r w:rsidR="00046A8D">
        <w:rPr>
          <w:rFonts w:cs="Calibri"/>
        </w:rPr>
        <w:t xml:space="preserve">safety </w:t>
      </w:r>
      <w:r w:rsidR="008F0B46">
        <w:rPr>
          <w:rFonts w:cs="Calibri"/>
        </w:rPr>
        <w:t>reporting</w:t>
      </w:r>
      <w:r w:rsidR="00E45C8F" w:rsidRPr="00DB6FFF">
        <w:rPr>
          <w:rFonts w:cs="Calibri"/>
        </w:rPr>
        <w:t xml:space="preserve"> system</w:t>
      </w:r>
      <w:r w:rsidR="006F583A" w:rsidRPr="00DB6FFF">
        <w:rPr>
          <w:rFonts w:cs="Calibri"/>
        </w:rPr>
        <w:t xml:space="preserve"> (see Appendix B for a model</w:t>
      </w:r>
      <w:r w:rsidR="009715A1">
        <w:rPr>
          <w:rFonts w:cs="Calibri"/>
        </w:rPr>
        <w:t xml:space="preserve"> </w:t>
      </w:r>
      <w:r w:rsidR="006F583A" w:rsidRPr="00DB6FFF">
        <w:rPr>
          <w:rFonts w:cs="Calibri"/>
        </w:rPr>
        <w:t>M</w:t>
      </w:r>
      <w:r w:rsidR="00DB3789" w:rsidRPr="00DB6FFF">
        <w:rPr>
          <w:rFonts w:cs="Calibri"/>
        </w:rPr>
        <w:t>O</w:t>
      </w:r>
      <w:r w:rsidR="006F583A" w:rsidRPr="00DB6FFF">
        <w:rPr>
          <w:rFonts w:cs="Calibri"/>
        </w:rPr>
        <w:t>U)</w:t>
      </w:r>
      <w:r w:rsidR="00E45C8F" w:rsidRPr="00DB6FFF">
        <w:rPr>
          <w:rFonts w:cs="Calibri"/>
        </w:rPr>
        <w:t xml:space="preserve">. </w:t>
      </w:r>
    </w:p>
    <w:p w:rsidR="006F583A" w:rsidRPr="00DB6FFF" w:rsidRDefault="006F583A" w:rsidP="004C37F6">
      <w:pPr>
        <w:pStyle w:val="ListParagraph"/>
        <w:ind w:left="1440"/>
        <w:rPr>
          <w:rFonts w:cs="Calibri"/>
        </w:rPr>
      </w:pPr>
    </w:p>
    <w:p w:rsidR="00E572C9" w:rsidRDefault="00E45C8F" w:rsidP="007310E6">
      <w:pPr>
        <w:pStyle w:val="ListParagraph"/>
        <w:numPr>
          <w:ilvl w:val="1"/>
          <w:numId w:val="3"/>
        </w:numPr>
        <w:rPr>
          <w:rFonts w:cs="Calibri"/>
        </w:rPr>
      </w:pPr>
      <w:r w:rsidRPr="00DB6FFF">
        <w:rPr>
          <w:rFonts w:cs="Calibri"/>
        </w:rPr>
        <w:t xml:space="preserve">The </w:t>
      </w:r>
      <w:r w:rsidR="009715A1">
        <w:rPr>
          <w:rFonts w:cs="Calibri"/>
        </w:rPr>
        <w:t xml:space="preserve">implementing </w:t>
      </w:r>
      <w:r w:rsidRPr="00DB6FFF">
        <w:rPr>
          <w:rFonts w:cs="Calibri"/>
        </w:rPr>
        <w:t>M</w:t>
      </w:r>
      <w:r w:rsidR="00DB3789" w:rsidRPr="00DB6FFF">
        <w:rPr>
          <w:rFonts w:cs="Calibri"/>
        </w:rPr>
        <w:t>O</w:t>
      </w:r>
      <w:r w:rsidRPr="00DB6FFF">
        <w:rPr>
          <w:rFonts w:cs="Calibri"/>
        </w:rPr>
        <w:t>U sets the terms by which various stakeholders and agencies will participate in the</w:t>
      </w:r>
      <w:r w:rsidR="00335498" w:rsidRPr="00DB6FFF">
        <w:rPr>
          <w:rFonts w:cs="Calibri"/>
        </w:rPr>
        <w:t xml:space="preserve"> </w:t>
      </w:r>
      <w:r w:rsidRPr="00DB6FFF">
        <w:rPr>
          <w:rFonts w:cs="Calibri"/>
        </w:rPr>
        <w:t>reporting system. Therefore, it must address all reasonable situations that</w:t>
      </w:r>
      <w:r w:rsidR="00DB3789" w:rsidRPr="00DB6FFF">
        <w:rPr>
          <w:rFonts w:cs="Calibri"/>
        </w:rPr>
        <w:t xml:space="preserve"> employees</w:t>
      </w:r>
      <w:r w:rsidRPr="00DB6FFF">
        <w:rPr>
          <w:rFonts w:cs="Calibri"/>
        </w:rPr>
        <w:t xml:space="preserve"> are likely to experience, including what is and is not </w:t>
      </w:r>
      <w:r w:rsidR="00335498" w:rsidRPr="00DB6FFF">
        <w:rPr>
          <w:rFonts w:cs="Calibri"/>
        </w:rPr>
        <w:t>reportable</w:t>
      </w:r>
      <w:r w:rsidRPr="00DB6FFF">
        <w:rPr>
          <w:rFonts w:cs="Calibri"/>
        </w:rPr>
        <w:t xml:space="preserve">, and what conditions must be met to qualify for </w:t>
      </w:r>
      <w:r w:rsidR="00E31DB8">
        <w:rPr>
          <w:rFonts w:cs="Calibri"/>
        </w:rPr>
        <w:t>protection</w:t>
      </w:r>
      <w:r w:rsidRPr="00DB6FFF">
        <w:rPr>
          <w:rFonts w:cs="Calibri"/>
        </w:rPr>
        <w:t xml:space="preserve"> from disciplinary action.</w:t>
      </w:r>
      <w:r w:rsidR="00E572C9">
        <w:rPr>
          <w:rFonts w:cs="Calibri"/>
        </w:rPr>
        <w:t xml:space="preserve"> </w:t>
      </w:r>
    </w:p>
    <w:p w:rsidR="00E572C9" w:rsidRDefault="00E572C9" w:rsidP="009B53DF">
      <w:pPr>
        <w:pStyle w:val="ListParagraph"/>
        <w:ind w:left="1440"/>
        <w:rPr>
          <w:rFonts w:cs="Calibri"/>
        </w:rPr>
      </w:pPr>
    </w:p>
    <w:p w:rsidR="00A11CCA" w:rsidRPr="00DB6FFF" w:rsidRDefault="00E572C9" w:rsidP="007310E6">
      <w:pPr>
        <w:pStyle w:val="ListParagraph"/>
        <w:numPr>
          <w:ilvl w:val="1"/>
          <w:numId w:val="3"/>
        </w:numPr>
        <w:rPr>
          <w:rFonts w:cs="Calibri"/>
        </w:rPr>
      </w:pPr>
      <w:r>
        <w:rPr>
          <w:rFonts w:cs="Calibri"/>
        </w:rPr>
        <w:t xml:space="preserve">The implementing MOU also indicates which RTA employees </w:t>
      </w:r>
      <w:r w:rsidR="00FA2EA6">
        <w:rPr>
          <w:rFonts w:cs="Calibri"/>
        </w:rPr>
        <w:t>can</w:t>
      </w:r>
      <w:r>
        <w:rPr>
          <w:rFonts w:cs="Calibri"/>
        </w:rPr>
        <w:t xml:space="preserve"> participate in the system. Some FRA pilot sites chose not to include some employees due to the limited spatial scope of the pilot (e.g.</w:t>
      </w:r>
      <w:r w:rsidR="00FA2EA6">
        <w:rPr>
          <w:rFonts w:cs="Calibri"/>
        </w:rPr>
        <w:t>,</w:t>
      </w:r>
      <w:r>
        <w:rPr>
          <w:rFonts w:cs="Calibri"/>
        </w:rPr>
        <w:t xml:space="preserve"> does not cover mainline track), employees being based distant from pilot sites, or other practical considerations. However, most of these concerns are unlikely to be barriers to inclusion for RTAs. Therefore, whenever feasible, the implementing MOU should include all employees and contractors of the RTA.</w:t>
      </w:r>
    </w:p>
    <w:p w:rsidR="00335498" w:rsidRPr="00DB6FFF" w:rsidRDefault="00335498" w:rsidP="00BD46F4">
      <w:pPr>
        <w:pStyle w:val="ListParagraph"/>
        <w:ind w:left="1440"/>
        <w:rPr>
          <w:rFonts w:cs="Calibri"/>
        </w:rPr>
      </w:pPr>
    </w:p>
    <w:p w:rsidR="005D6533" w:rsidRPr="00DB6FFF" w:rsidRDefault="00335498" w:rsidP="007310E6">
      <w:pPr>
        <w:pStyle w:val="ListParagraph"/>
        <w:numPr>
          <w:ilvl w:val="1"/>
          <w:numId w:val="3"/>
        </w:numPr>
        <w:spacing w:after="0"/>
        <w:rPr>
          <w:rFonts w:cs="Calibri"/>
        </w:rPr>
      </w:pPr>
      <w:r w:rsidRPr="00DB6FFF">
        <w:rPr>
          <w:rFonts w:cs="Calibri"/>
        </w:rPr>
        <w:t xml:space="preserve">While forming the </w:t>
      </w:r>
      <w:r w:rsidR="009715A1">
        <w:rPr>
          <w:rFonts w:cs="Calibri"/>
        </w:rPr>
        <w:t xml:space="preserve">implementing </w:t>
      </w:r>
      <w:r w:rsidRPr="00DB6FFF">
        <w:rPr>
          <w:rFonts w:cs="Calibri"/>
        </w:rPr>
        <w:t xml:space="preserve">MOU, stakeholders </w:t>
      </w:r>
      <w:r w:rsidR="00CB20B7">
        <w:rPr>
          <w:rFonts w:cs="Calibri"/>
        </w:rPr>
        <w:t>must</w:t>
      </w:r>
      <w:r w:rsidR="00CB20B7" w:rsidRPr="00DB6FFF">
        <w:rPr>
          <w:rFonts w:cs="Calibri"/>
        </w:rPr>
        <w:t xml:space="preserve"> </w:t>
      </w:r>
      <w:r w:rsidRPr="00DB6FFF">
        <w:rPr>
          <w:rFonts w:cs="Calibri"/>
        </w:rPr>
        <w:t xml:space="preserve">consider how the presence of passengers and the rising use of </w:t>
      </w:r>
      <w:r w:rsidR="00550F74">
        <w:rPr>
          <w:rFonts w:cs="Calibri"/>
        </w:rPr>
        <w:t xml:space="preserve">technology to detect </w:t>
      </w:r>
      <w:r w:rsidR="00E57BF8">
        <w:rPr>
          <w:rFonts w:cs="Calibri"/>
        </w:rPr>
        <w:t xml:space="preserve">incidents </w:t>
      </w:r>
      <w:r w:rsidR="00CB20B7">
        <w:rPr>
          <w:rFonts w:cs="Calibri"/>
        </w:rPr>
        <w:t>can</w:t>
      </w:r>
      <w:r w:rsidR="00CB20B7" w:rsidRPr="00DB6FFF">
        <w:rPr>
          <w:rFonts w:cs="Calibri"/>
        </w:rPr>
        <w:t xml:space="preserve"> </w:t>
      </w:r>
      <w:r w:rsidRPr="00DB6FFF">
        <w:rPr>
          <w:rFonts w:cs="Calibri"/>
        </w:rPr>
        <w:t xml:space="preserve">create challenges for the system. </w:t>
      </w:r>
      <w:r w:rsidR="00C06393" w:rsidRPr="00DB6FFF">
        <w:rPr>
          <w:rFonts w:cs="Calibri"/>
        </w:rPr>
        <w:t xml:space="preserve">To the extent that events are known </w:t>
      </w:r>
      <w:r w:rsidR="009715A1">
        <w:rPr>
          <w:rFonts w:cs="Calibri"/>
        </w:rPr>
        <w:t xml:space="preserve">in real time </w:t>
      </w:r>
      <w:r w:rsidR="00C06393" w:rsidRPr="00DB6FFF">
        <w:rPr>
          <w:rFonts w:cs="Calibri"/>
        </w:rPr>
        <w:t>through monitoring</w:t>
      </w:r>
      <w:r w:rsidR="00E57BF8">
        <w:rPr>
          <w:rFonts w:cs="Calibri"/>
        </w:rPr>
        <w:t xml:space="preserve"> or </w:t>
      </w:r>
      <w:r w:rsidR="00550F74">
        <w:rPr>
          <w:rFonts w:cs="Calibri"/>
        </w:rPr>
        <w:t xml:space="preserve">alarm </w:t>
      </w:r>
      <w:r w:rsidR="00C06393" w:rsidRPr="00DB6FFF">
        <w:rPr>
          <w:rFonts w:cs="Calibri"/>
        </w:rPr>
        <w:t>devices, fewer events will be reportable unless provision is made to support some known events</w:t>
      </w:r>
      <w:r w:rsidR="00243C76" w:rsidRPr="00DB6FFF">
        <w:rPr>
          <w:rFonts w:cs="Calibri"/>
        </w:rPr>
        <w:t>.</w:t>
      </w:r>
      <w:r w:rsidR="00064E86" w:rsidRPr="00DB6FFF">
        <w:rPr>
          <w:rFonts w:cs="Calibri"/>
        </w:rPr>
        <w:t xml:space="preserve"> </w:t>
      </w:r>
    </w:p>
    <w:p w:rsidR="00FA503D" w:rsidRPr="00DB6FFF" w:rsidRDefault="00FA503D" w:rsidP="00BD46F4">
      <w:pPr>
        <w:spacing w:after="0"/>
        <w:rPr>
          <w:rFonts w:cs="Calibri"/>
        </w:rPr>
      </w:pPr>
    </w:p>
    <w:p w:rsidR="00335498" w:rsidRPr="00DB6FFF" w:rsidRDefault="00FA503D" w:rsidP="00BD46F4">
      <w:pPr>
        <w:spacing w:after="0"/>
        <w:ind w:left="1440"/>
        <w:rPr>
          <w:rFonts w:cs="Calibri"/>
        </w:rPr>
      </w:pPr>
      <w:r w:rsidRPr="00DB6FFF">
        <w:rPr>
          <w:rFonts w:cs="Calibri"/>
        </w:rPr>
        <w:t>Example: W</w:t>
      </w:r>
      <w:r w:rsidR="00335498" w:rsidRPr="00DB6FFF">
        <w:rPr>
          <w:rFonts w:cs="Calibri"/>
        </w:rPr>
        <w:t>hen the FRA pilot was expanded to include New Jersey Transit (NJT), events that involved the safety of passengers, such as doors opening on the wrong side</w:t>
      </w:r>
      <w:r w:rsidR="00F15F9B">
        <w:rPr>
          <w:rFonts w:cs="Calibri"/>
        </w:rPr>
        <w:t xml:space="preserve"> </w:t>
      </w:r>
      <w:r w:rsidRPr="00DB6FFF">
        <w:rPr>
          <w:rFonts w:cs="Calibri"/>
        </w:rPr>
        <w:t>or a missed station platform</w:t>
      </w:r>
      <w:r w:rsidR="00F15F9B">
        <w:rPr>
          <w:rFonts w:cs="Calibri"/>
        </w:rPr>
        <w:t>,</w:t>
      </w:r>
      <w:r w:rsidRPr="00DB6FFF">
        <w:rPr>
          <w:rFonts w:cs="Calibri"/>
        </w:rPr>
        <w:t xml:space="preserve"> </w:t>
      </w:r>
      <w:r w:rsidR="00335498" w:rsidRPr="00DB6FFF">
        <w:rPr>
          <w:rFonts w:cs="Calibri"/>
        </w:rPr>
        <w:t>were not sufficiently address</w:t>
      </w:r>
      <w:r w:rsidR="003515B6" w:rsidRPr="00DB6FFF">
        <w:rPr>
          <w:rFonts w:cs="Calibri"/>
        </w:rPr>
        <w:t>ed</w:t>
      </w:r>
      <w:r w:rsidR="00335498" w:rsidRPr="00DB6FFF">
        <w:rPr>
          <w:rFonts w:cs="Calibri"/>
        </w:rPr>
        <w:t xml:space="preserve"> in the </w:t>
      </w:r>
      <w:r w:rsidR="009715A1">
        <w:rPr>
          <w:rFonts w:cs="Calibri"/>
        </w:rPr>
        <w:t xml:space="preserve">implementing </w:t>
      </w:r>
      <w:r w:rsidR="00335498" w:rsidRPr="00DB6FFF">
        <w:rPr>
          <w:rFonts w:cs="Calibri"/>
        </w:rPr>
        <w:t>MOU</w:t>
      </w:r>
      <w:r w:rsidRPr="00DB6FFF">
        <w:rPr>
          <w:rFonts w:cs="Calibri"/>
        </w:rPr>
        <w:t xml:space="preserve">, thus </w:t>
      </w:r>
      <w:r w:rsidR="00FA2EA6">
        <w:rPr>
          <w:rFonts w:cs="Calibri"/>
        </w:rPr>
        <w:t xml:space="preserve">they </w:t>
      </w:r>
      <w:r w:rsidRPr="00DB6FFF">
        <w:rPr>
          <w:rFonts w:cs="Calibri"/>
        </w:rPr>
        <w:t xml:space="preserve">were not considered qualifying incidents for </w:t>
      </w:r>
      <w:r w:rsidR="0036201E">
        <w:rPr>
          <w:rFonts w:cs="Calibri"/>
        </w:rPr>
        <w:t xml:space="preserve">the </w:t>
      </w:r>
      <w:r w:rsidR="008D7209">
        <w:rPr>
          <w:rFonts w:cs="Calibri"/>
        </w:rPr>
        <w:t>close call</w:t>
      </w:r>
      <w:r w:rsidR="009715A1">
        <w:rPr>
          <w:rFonts w:cs="Calibri"/>
        </w:rPr>
        <w:t xml:space="preserve"> </w:t>
      </w:r>
      <w:r w:rsidR="0036201E">
        <w:rPr>
          <w:rFonts w:cs="Calibri"/>
        </w:rPr>
        <w:t xml:space="preserve">safety </w:t>
      </w:r>
      <w:r w:rsidR="009715A1">
        <w:rPr>
          <w:rFonts w:cs="Calibri"/>
        </w:rPr>
        <w:t>reporting system</w:t>
      </w:r>
      <w:r w:rsidR="00335498" w:rsidRPr="00DB6FFF">
        <w:rPr>
          <w:rFonts w:cs="Calibri"/>
        </w:rPr>
        <w:t xml:space="preserve">. Nevertheless, the NJT pilot stakeholders </w:t>
      </w:r>
      <w:r w:rsidR="00335498" w:rsidRPr="00DB6FFF">
        <w:rPr>
          <w:rFonts w:cs="Calibri"/>
        </w:rPr>
        <w:lastRenderedPageBreak/>
        <w:t xml:space="preserve">determined that they </w:t>
      </w:r>
      <w:r w:rsidR="00C17469">
        <w:rPr>
          <w:rFonts w:cs="Calibri"/>
        </w:rPr>
        <w:t xml:space="preserve">would </w:t>
      </w:r>
      <w:r w:rsidR="00335498" w:rsidRPr="00DB6FFF">
        <w:rPr>
          <w:rFonts w:cs="Calibri"/>
        </w:rPr>
        <w:t>include these type</w:t>
      </w:r>
      <w:r w:rsidR="005D6533" w:rsidRPr="00DB6FFF">
        <w:rPr>
          <w:rFonts w:cs="Calibri"/>
        </w:rPr>
        <w:t>s</w:t>
      </w:r>
      <w:r w:rsidR="00335498" w:rsidRPr="00DB6FFF">
        <w:rPr>
          <w:rFonts w:cs="Calibri"/>
        </w:rPr>
        <w:t xml:space="preserve"> of events</w:t>
      </w:r>
      <w:r w:rsidR="00064E86" w:rsidRPr="00DB6FFF">
        <w:rPr>
          <w:rFonts w:cs="Calibri"/>
        </w:rPr>
        <w:t xml:space="preserve"> under certain conditions</w:t>
      </w:r>
      <w:r w:rsidR="00335498" w:rsidRPr="00DB6FFF">
        <w:rPr>
          <w:rFonts w:cs="Calibri"/>
        </w:rPr>
        <w:t xml:space="preserve">, even though they were known to the agency. </w:t>
      </w:r>
    </w:p>
    <w:p w:rsidR="001D1DC5" w:rsidRPr="00DB6FFF" w:rsidRDefault="001D1DC5" w:rsidP="004C37F6">
      <w:pPr>
        <w:pStyle w:val="ListParagraph"/>
        <w:rPr>
          <w:rFonts w:cs="Calibri"/>
        </w:rPr>
      </w:pPr>
    </w:p>
    <w:p w:rsidR="004D0D24" w:rsidRPr="00DB6FFF" w:rsidRDefault="00E45C8F" w:rsidP="007310E6">
      <w:pPr>
        <w:pStyle w:val="ListParagraph"/>
        <w:numPr>
          <w:ilvl w:val="0"/>
          <w:numId w:val="2"/>
        </w:numPr>
        <w:rPr>
          <w:rFonts w:cs="Calibri"/>
        </w:rPr>
      </w:pPr>
      <w:r w:rsidRPr="00DB6FFF">
        <w:rPr>
          <w:rFonts w:cs="Calibri"/>
        </w:rPr>
        <w:t>Any</w:t>
      </w:r>
      <w:r w:rsidR="008F0B46">
        <w:rPr>
          <w:rFonts w:cs="Calibri"/>
        </w:rPr>
        <w:t xml:space="preserve"> </w:t>
      </w:r>
      <w:r w:rsidR="008D7209">
        <w:rPr>
          <w:rFonts w:cs="Calibri"/>
        </w:rPr>
        <w:t>close call</w:t>
      </w:r>
      <w:r w:rsidR="008F0B46">
        <w:rPr>
          <w:rFonts w:cs="Calibri"/>
        </w:rPr>
        <w:t xml:space="preserve"> </w:t>
      </w:r>
      <w:r w:rsidR="00046A8D">
        <w:rPr>
          <w:rFonts w:cs="Calibri"/>
        </w:rPr>
        <w:t xml:space="preserve">safety </w:t>
      </w:r>
      <w:r w:rsidR="008F0B46">
        <w:rPr>
          <w:rFonts w:cs="Calibri"/>
        </w:rPr>
        <w:t>reporting</w:t>
      </w:r>
      <w:r w:rsidRPr="00DB6FFF">
        <w:rPr>
          <w:rFonts w:cs="Calibri"/>
        </w:rPr>
        <w:t xml:space="preserve"> system for the rail transit industry must</w:t>
      </w:r>
      <w:r w:rsidR="00A11CCA" w:rsidRPr="00DB6FFF">
        <w:rPr>
          <w:rFonts w:cs="Calibri"/>
        </w:rPr>
        <w:t xml:space="preserve"> include strong assurances of confidentiality for any data, reports, or other information created by the system. </w:t>
      </w:r>
      <w:r w:rsidR="002A2320">
        <w:rPr>
          <w:rFonts w:cs="Calibri"/>
        </w:rPr>
        <w:t>Employees must be assured that</w:t>
      </w:r>
      <w:r w:rsidR="005358C6">
        <w:rPr>
          <w:rFonts w:cs="Calibri"/>
        </w:rPr>
        <w:t xml:space="preserve"> personally</w:t>
      </w:r>
      <w:r w:rsidR="00FA2EA6">
        <w:rPr>
          <w:rFonts w:cs="Calibri"/>
        </w:rPr>
        <w:t xml:space="preserve"> </w:t>
      </w:r>
      <w:r w:rsidR="005358C6">
        <w:rPr>
          <w:rFonts w:cs="Calibri"/>
        </w:rPr>
        <w:t>identifiable information (</w:t>
      </w:r>
      <w:r w:rsidR="0049632C">
        <w:rPr>
          <w:rFonts w:cs="Calibri"/>
        </w:rPr>
        <w:t>PII</w:t>
      </w:r>
      <w:r w:rsidR="005358C6">
        <w:rPr>
          <w:rFonts w:cs="Calibri"/>
        </w:rPr>
        <w:t>)</w:t>
      </w:r>
      <w:r w:rsidR="002A2320">
        <w:rPr>
          <w:rFonts w:cs="Calibri"/>
        </w:rPr>
        <w:t xml:space="preserve"> in reports will not be disclosed by the third-party agency and RTAs must be assured that </w:t>
      </w:r>
      <w:r w:rsidR="0049632C">
        <w:rPr>
          <w:rFonts w:cs="Calibri"/>
        </w:rPr>
        <w:t xml:space="preserve">reports, </w:t>
      </w:r>
      <w:r w:rsidR="002A2320">
        <w:rPr>
          <w:rFonts w:cs="Calibri"/>
        </w:rPr>
        <w:t>analys</w:t>
      </w:r>
      <w:r w:rsidR="005358C6">
        <w:rPr>
          <w:rFonts w:cs="Calibri"/>
        </w:rPr>
        <w:t>e</w:t>
      </w:r>
      <w:r w:rsidR="002A2320">
        <w:rPr>
          <w:rFonts w:cs="Calibri"/>
        </w:rPr>
        <w:t>s</w:t>
      </w:r>
      <w:r w:rsidR="0049632C">
        <w:rPr>
          <w:rFonts w:cs="Calibri"/>
        </w:rPr>
        <w:t>,</w:t>
      </w:r>
      <w:r w:rsidR="002A2320">
        <w:rPr>
          <w:rFonts w:cs="Calibri"/>
        </w:rPr>
        <w:t xml:space="preserve"> and trend data </w:t>
      </w:r>
      <w:r w:rsidR="005358C6">
        <w:rPr>
          <w:rFonts w:cs="Calibri"/>
        </w:rPr>
        <w:t>are</w:t>
      </w:r>
      <w:r w:rsidR="002A2320">
        <w:rPr>
          <w:rFonts w:cs="Calibri"/>
        </w:rPr>
        <w:t xml:space="preserve"> </w:t>
      </w:r>
      <w:r w:rsidR="00064E86" w:rsidRPr="00DB6FFF">
        <w:rPr>
          <w:rFonts w:cs="Calibri"/>
        </w:rPr>
        <w:t xml:space="preserve">protected from disclosure </w:t>
      </w:r>
      <w:r w:rsidR="000300EF" w:rsidRPr="00DB6FFF">
        <w:rPr>
          <w:rFonts w:cs="Calibri"/>
        </w:rPr>
        <w:t>requirements of</w:t>
      </w:r>
      <w:r w:rsidR="00064E86" w:rsidRPr="00DB6FFF">
        <w:rPr>
          <w:rFonts w:cs="Calibri"/>
        </w:rPr>
        <w:t xml:space="preserve"> the Freedom of Information Act (FOIA)</w:t>
      </w:r>
      <w:r w:rsidR="00D732C6">
        <w:rPr>
          <w:rFonts w:cs="Calibri"/>
        </w:rPr>
        <w:t>, relevant State statues</w:t>
      </w:r>
      <w:r w:rsidR="00FA2EA6">
        <w:rPr>
          <w:rFonts w:cs="Calibri"/>
        </w:rPr>
        <w:t>,</w:t>
      </w:r>
      <w:r w:rsidR="00064E86" w:rsidRPr="00DB6FFF">
        <w:rPr>
          <w:rFonts w:cs="Calibri"/>
        </w:rPr>
        <w:t xml:space="preserve"> and legal discovery.  </w:t>
      </w:r>
    </w:p>
    <w:p w:rsidR="004D0D24" w:rsidRPr="00DB6FFF" w:rsidRDefault="004D0D24" w:rsidP="00BD46F4">
      <w:pPr>
        <w:pStyle w:val="ListParagraph"/>
        <w:rPr>
          <w:rFonts w:cs="Calibri"/>
        </w:rPr>
      </w:pPr>
    </w:p>
    <w:p w:rsidR="000300EF" w:rsidRPr="00DB6FFF" w:rsidRDefault="00064E86" w:rsidP="007310E6">
      <w:pPr>
        <w:pStyle w:val="ListParagraph"/>
        <w:numPr>
          <w:ilvl w:val="0"/>
          <w:numId w:val="2"/>
        </w:numPr>
        <w:spacing w:after="0"/>
        <w:rPr>
          <w:rFonts w:cs="Calibri"/>
        </w:rPr>
      </w:pPr>
      <w:r w:rsidRPr="00DB6FFF">
        <w:rPr>
          <w:rFonts w:cs="Calibri"/>
        </w:rPr>
        <w:t xml:space="preserve">Protection from discipline </w:t>
      </w:r>
      <w:r w:rsidR="00DB40DB">
        <w:rPr>
          <w:rFonts w:cs="Calibri"/>
        </w:rPr>
        <w:t xml:space="preserve">for qualifying </w:t>
      </w:r>
      <w:r w:rsidR="005F4D2F">
        <w:rPr>
          <w:rFonts w:cs="Calibri"/>
        </w:rPr>
        <w:t>events</w:t>
      </w:r>
      <w:r w:rsidR="00DB40DB">
        <w:rPr>
          <w:rFonts w:cs="Calibri"/>
        </w:rPr>
        <w:t xml:space="preserve"> identified in the </w:t>
      </w:r>
      <w:r w:rsidR="009C038A">
        <w:rPr>
          <w:rFonts w:cs="Calibri"/>
        </w:rPr>
        <w:t xml:space="preserve">implementing </w:t>
      </w:r>
      <w:r w:rsidR="00DB40DB">
        <w:rPr>
          <w:rFonts w:cs="Calibri"/>
        </w:rPr>
        <w:t xml:space="preserve">MOU </w:t>
      </w:r>
      <w:r w:rsidR="00A11CCA" w:rsidRPr="00DB6FFF">
        <w:rPr>
          <w:rFonts w:cs="Calibri"/>
        </w:rPr>
        <w:t>should be afforded to all parties who a</w:t>
      </w:r>
      <w:r w:rsidR="004D0D24" w:rsidRPr="00DB6FFF">
        <w:rPr>
          <w:rFonts w:cs="Calibri"/>
        </w:rPr>
        <w:t xml:space="preserve">re signatories of the </w:t>
      </w:r>
      <w:r w:rsidR="009C038A">
        <w:rPr>
          <w:rFonts w:cs="Calibri"/>
        </w:rPr>
        <w:t xml:space="preserve">implementing </w:t>
      </w:r>
      <w:r w:rsidR="004D0D24" w:rsidRPr="00DB6FFF">
        <w:rPr>
          <w:rFonts w:cs="Calibri"/>
        </w:rPr>
        <w:t xml:space="preserve">MOU. </w:t>
      </w:r>
      <w:r w:rsidR="000300EF" w:rsidRPr="00DB6FFF">
        <w:rPr>
          <w:rFonts w:cs="Calibri"/>
        </w:rPr>
        <w:t xml:space="preserve">Labor unions must be included to ensure that the reporting employees are </w:t>
      </w:r>
      <w:r w:rsidR="00E57BF8">
        <w:rPr>
          <w:rFonts w:cs="Calibri"/>
        </w:rPr>
        <w:t>protected</w:t>
      </w:r>
      <w:r w:rsidR="00E57BF8" w:rsidRPr="00DB6FFF">
        <w:rPr>
          <w:rFonts w:cs="Calibri"/>
        </w:rPr>
        <w:t xml:space="preserve"> </w:t>
      </w:r>
      <w:r w:rsidR="000300EF" w:rsidRPr="00DB6FFF">
        <w:rPr>
          <w:rFonts w:cs="Calibri"/>
        </w:rPr>
        <w:t xml:space="preserve">from discipline by the RTA. </w:t>
      </w:r>
      <w:r w:rsidR="00D55D84">
        <w:rPr>
          <w:rFonts w:cs="Calibri"/>
        </w:rPr>
        <w:t>Th</w:t>
      </w:r>
      <w:r w:rsidR="009C038A">
        <w:rPr>
          <w:rFonts w:cs="Calibri"/>
        </w:rPr>
        <w:t xml:space="preserve">e implementing </w:t>
      </w:r>
      <w:r w:rsidR="00D55D84">
        <w:rPr>
          <w:rFonts w:cs="Calibri"/>
        </w:rPr>
        <w:t xml:space="preserve">MOU should also include mechanisms to protect </w:t>
      </w:r>
      <w:r w:rsidR="00195AC4">
        <w:rPr>
          <w:rFonts w:cs="Calibri"/>
        </w:rPr>
        <w:t>employees</w:t>
      </w:r>
      <w:r w:rsidR="00D55D84">
        <w:rPr>
          <w:rFonts w:cs="Calibri"/>
        </w:rPr>
        <w:t xml:space="preserve"> that subm</w:t>
      </w:r>
      <w:r w:rsidR="00195AC4">
        <w:rPr>
          <w:rFonts w:cs="Calibri"/>
        </w:rPr>
        <w:t xml:space="preserve">it reports from retaliation, </w:t>
      </w:r>
      <w:r w:rsidR="00D55D84">
        <w:rPr>
          <w:rFonts w:cs="Calibri"/>
        </w:rPr>
        <w:t>dismissal</w:t>
      </w:r>
      <w:r w:rsidR="00FA2EA6">
        <w:rPr>
          <w:rFonts w:cs="Calibri"/>
        </w:rPr>
        <w:t>,</w:t>
      </w:r>
      <w:r w:rsidR="00D55D84">
        <w:rPr>
          <w:rFonts w:cs="Calibri"/>
        </w:rPr>
        <w:t xml:space="preserve"> </w:t>
      </w:r>
      <w:r w:rsidR="00195AC4">
        <w:rPr>
          <w:rFonts w:cs="Calibri"/>
        </w:rPr>
        <w:t xml:space="preserve">and other forms of discrimination </w:t>
      </w:r>
      <w:r w:rsidR="00D55D84">
        <w:rPr>
          <w:rFonts w:cs="Calibri"/>
        </w:rPr>
        <w:t xml:space="preserve">by both supervisors and peers. </w:t>
      </w:r>
      <w:r w:rsidR="004D0D24" w:rsidRPr="00DB6FFF">
        <w:rPr>
          <w:rFonts w:cs="Calibri"/>
        </w:rPr>
        <w:t>Including SSOs</w:t>
      </w:r>
      <w:r w:rsidR="00A11CCA" w:rsidRPr="00DB6FFF">
        <w:rPr>
          <w:rFonts w:cs="Calibri"/>
        </w:rPr>
        <w:t xml:space="preserve"> </w:t>
      </w:r>
      <w:r w:rsidR="000300EF" w:rsidRPr="00DB6FFF">
        <w:rPr>
          <w:rFonts w:cs="Calibri"/>
        </w:rPr>
        <w:t xml:space="preserve">as </w:t>
      </w:r>
      <w:r w:rsidR="0019646A">
        <w:rPr>
          <w:rFonts w:cs="Calibri"/>
        </w:rPr>
        <w:t xml:space="preserve">implementing </w:t>
      </w:r>
      <w:r w:rsidR="000300EF" w:rsidRPr="00DB6FFF">
        <w:rPr>
          <w:rFonts w:cs="Calibri"/>
        </w:rPr>
        <w:t xml:space="preserve">MOU signatories </w:t>
      </w:r>
      <w:r w:rsidR="00C06393" w:rsidRPr="00DB6FFF">
        <w:rPr>
          <w:rFonts w:cs="Calibri"/>
        </w:rPr>
        <w:t>could potentially</w:t>
      </w:r>
      <w:r w:rsidR="00A11CCA" w:rsidRPr="00DB6FFF">
        <w:rPr>
          <w:rFonts w:cs="Calibri"/>
        </w:rPr>
        <w:t xml:space="preserve"> </w:t>
      </w:r>
      <w:r w:rsidR="000300EF" w:rsidRPr="00DB6FFF">
        <w:rPr>
          <w:rFonts w:cs="Calibri"/>
        </w:rPr>
        <w:t>allow</w:t>
      </w:r>
      <w:r w:rsidR="00A11CCA" w:rsidRPr="00DB6FFF">
        <w:rPr>
          <w:rFonts w:cs="Calibri"/>
        </w:rPr>
        <w:t xml:space="preserve"> </w:t>
      </w:r>
      <w:r w:rsidR="000300EF" w:rsidRPr="00DB6FFF">
        <w:rPr>
          <w:rFonts w:cs="Calibri"/>
        </w:rPr>
        <w:t xml:space="preserve">SSO staff to participate in PRTs while ensuring that </w:t>
      </w:r>
      <w:r w:rsidR="00A11CCA" w:rsidRPr="00DB6FFF">
        <w:rPr>
          <w:rFonts w:cs="Calibri"/>
        </w:rPr>
        <w:t xml:space="preserve">RTAs are protected from regulatory action </w:t>
      </w:r>
      <w:r w:rsidR="000300EF" w:rsidRPr="00DB6FFF">
        <w:rPr>
          <w:rFonts w:cs="Calibri"/>
        </w:rPr>
        <w:t>based on information learned through the PRTs.</w:t>
      </w:r>
    </w:p>
    <w:p w:rsidR="0010722C" w:rsidRPr="00DB6FFF" w:rsidRDefault="0010722C" w:rsidP="00BD46F4">
      <w:pPr>
        <w:rPr>
          <w:rFonts w:cs="Calibri"/>
        </w:rPr>
      </w:pPr>
    </w:p>
    <w:p w:rsidR="0010722C" w:rsidRPr="00DB6FFF" w:rsidRDefault="0010722C" w:rsidP="007310E6">
      <w:pPr>
        <w:pStyle w:val="ListParagraph"/>
        <w:numPr>
          <w:ilvl w:val="0"/>
          <w:numId w:val="2"/>
        </w:numPr>
        <w:rPr>
          <w:rFonts w:cs="Calibri"/>
        </w:rPr>
      </w:pPr>
      <w:r w:rsidRPr="00DB6FFF">
        <w:rPr>
          <w:rFonts w:cs="Calibri"/>
        </w:rPr>
        <w:t>Relative to the railroads engaged in the C</w:t>
      </w:r>
      <w:r w:rsidRPr="00DB6FFF">
        <w:rPr>
          <w:rFonts w:cs="Calibri"/>
          <w:vertAlign w:val="superscript"/>
        </w:rPr>
        <w:t>3</w:t>
      </w:r>
      <w:r w:rsidRPr="00DB6FFF">
        <w:rPr>
          <w:rFonts w:cs="Calibri"/>
        </w:rPr>
        <w:t>RS pilot reporting systems, rail transit systems have widely</w:t>
      </w:r>
      <w:r w:rsidR="00FA2EA6">
        <w:rPr>
          <w:rFonts w:cs="Calibri"/>
        </w:rPr>
        <w:t xml:space="preserve"> </w:t>
      </w:r>
      <w:r w:rsidRPr="00DB6FFF">
        <w:rPr>
          <w:rFonts w:cs="Calibri"/>
        </w:rPr>
        <w:t xml:space="preserve">varying track and equipment from agency to agency. </w:t>
      </w:r>
      <w:r w:rsidR="00CF7440">
        <w:rPr>
          <w:rFonts w:cs="Calibri"/>
        </w:rPr>
        <w:t>U</w:t>
      </w:r>
      <w:r w:rsidRPr="00DB6FFF">
        <w:rPr>
          <w:rFonts w:cs="Calibri"/>
        </w:rPr>
        <w:t xml:space="preserve">nique characteristics of any RTA’s systems </w:t>
      </w:r>
      <w:r w:rsidR="00CF7440">
        <w:rPr>
          <w:rFonts w:cs="Calibri"/>
        </w:rPr>
        <w:t>may</w:t>
      </w:r>
      <w:r w:rsidRPr="00DB6FFF">
        <w:rPr>
          <w:rFonts w:cs="Calibri"/>
        </w:rPr>
        <w:t xml:space="preserve"> make de-identification of report</w:t>
      </w:r>
      <w:r w:rsidR="00117371" w:rsidRPr="00DB6FFF">
        <w:rPr>
          <w:rFonts w:cs="Calibri"/>
        </w:rPr>
        <w:t>s</w:t>
      </w:r>
      <w:r w:rsidRPr="00DB6FFF">
        <w:rPr>
          <w:rFonts w:cs="Calibri"/>
        </w:rPr>
        <w:t xml:space="preserve"> more difficult than in the C</w:t>
      </w:r>
      <w:r w:rsidRPr="00DB6FFF">
        <w:rPr>
          <w:rFonts w:cs="Calibri"/>
          <w:vertAlign w:val="superscript"/>
        </w:rPr>
        <w:t>3</w:t>
      </w:r>
      <w:r w:rsidRPr="00DB6FFF">
        <w:rPr>
          <w:rFonts w:cs="Calibri"/>
        </w:rPr>
        <w:t>RS system.</w:t>
      </w:r>
    </w:p>
    <w:p w:rsidR="0010722C" w:rsidRPr="00DB6FFF" w:rsidRDefault="0010722C" w:rsidP="00BD46F4">
      <w:pPr>
        <w:pStyle w:val="ListParagraph"/>
        <w:rPr>
          <w:rFonts w:cs="Calibri"/>
        </w:rPr>
      </w:pPr>
    </w:p>
    <w:p w:rsidR="0010722C" w:rsidRPr="00DB6FFF" w:rsidRDefault="0010722C" w:rsidP="007310E6">
      <w:pPr>
        <w:pStyle w:val="ListParagraph"/>
        <w:numPr>
          <w:ilvl w:val="1"/>
          <w:numId w:val="2"/>
        </w:numPr>
        <w:rPr>
          <w:rFonts w:cs="Calibri"/>
        </w:rPr>
      </w:pPr>
      <w:r w:rsidRPr="00DB6FFF">
        <w:rPr>
          <w:rFonts w:cs="Calibri"/>
        </w:rPr>
        <w:t xml:space="preserve">Examples: </w:t>
      </w:r>
    </w:p>
    <w:p w:rsidR="0010722C" w:rsidRPr="00DB6FFF" w:rsidRDefault="0010722C" w:rsidP="007310E6">
      <w:pPr>
        <w:pStyle w:val="ListParagraph"/>
        <w:numPr>
          <w:ilvl w:val="2"/>
          <w:numId w:val="2"/>
        </w:numPr>
        <w:rPr>
          <w:rFonts w:cs="Calibri"/>
        </w:rPr>
      </w:pPr>
      <w:r w:rsidRPr="00DB6FFF">
        <w:rPr>
          <w:rFonts w:cs="Calibri"/>
        </w:rPr>
        <w:t xml:space="preserve">Older systems have switch structures that are no longer in production and are relatively rare. </w:t>
      </w:r>
    </w:p>
    <w:p w:rsidR="0010722C" w:rsidRDefault="00D323E9" w:rsidP="007310E6">
      <w:pPr>
        <w:pStyle w:val="ListParagraph"/>
        <w:numPr>
          <w:ilvl w:val="2"/>
          <w:numId w:val="2"/>
        </w:numPr>
        <w:rPr>
          <w:rFonts w:cs="Calibri"/>
        </w:rPr>
      </w:pPr>
      <w:r w:rsidRPr="00DB6FFF">
        <w:rPr>
          <w:rFonts w:cs="Calibri"/>
        </w:rPr>
        <w:t xml:space="preserve">Light-rail vehicles, </w:t>
      </w:r>
      <w:r w:rsidR="0010722C" w:rsidRPr="00DB6FFF">
        <w:rPr>
          <w:rFonts w:cs="Calibri"/>
        </w:rPr>
        <w:t>historical rail vehicles</w:t>
      </w:r>
      <w:r w:rsidRPr="00DB6FFF">
        <w:rPr>
          <w:rFonts w:cs="Calibri"/>
        </w:rPr>
        <w:t>, and other systems</w:t>
      </w:r>
      <w:r w:rsidR="004C3F5E" w:rsidRPr="00DB6FFF">
        <w:rPr>
          <w:rFonts w:cs="Calibri"/>
        </w:rPr>
        <w:t xml:space="preserve"> </w:t>
      </w:r>
      <w:r w:rsidR="0010722C" w:rsidRPr="00DB6FFF">
        <w:rPr>
          <w:rFonts w:cs="Calibri"/>
        </w:rPr>
        <w:t>used by some RTAs ar</w:t>
      </w:r>
      <w:r w:rsidRPr="00DB6FFF">
        <w:rPr>
          <w:rFonts w:cs="Calibri"/>
        </w:rPr>
        <w:t>e distinctive and unique</w:t>
      </w:r>
      <w:r w:rsidR="004C3F5E" w:rsidRPr="00DB6FFF">
        <w:rPr>
          <w:rFonts w:cs="Calibri"/>
        </w:rPr>
        <w:t xml:space="preserve"> (such as San Francisco’s cable cars)</w:t>
      </w:r>
      <w:r w:rsidR="0010722C" w:rsidRPr="00DB6FFF">
        <w:rPr>
          <w:rFonts w:cs="Calibri"/>
        </w:rPr>
        <w:t>. This may make de-identification so difficult as to discourage reporting</w:t>
      </w:r>
      <w:r w:rsidRPr="00DB6FFF">
        <w:rPr>
          <w:rFonts w:cs="Calibri"/>
        </w:rPr>
        <w:t>.</w:t>
      </w:r>
    </w:p>
    <w:p w:rsidR="00CD6964" w:rsidRDefault="00CD6964" w:rsidP="00CD6964">
      <w:pPr>
        <w:rPr>
          <w:rFonts w:cs="Calibri"/>
        </w:rPr>
      </w:pPr>
    </w:p>
    <w:p w:rsidR="00CD6964" w:rsidRDefault="00CD6964" w:rsidP="00CD6964">
      <w:pPr>
        <w:rPr>
          <w:rFonts w:cs="Calibri"/>
        </w:rPr>
      </w:pPr>
    </w:p>
    <w:p w:rsidR="00CD6964" w:rsidRDefault="00CD6964" w:rsidP="00CD6964">
      <w:pPr>
        <w:rPr>
          <w:rFonts w:cs="Calibri"/>
        </w:rPr>
      </w:pPr>
    </w:p>
    <w:p w:rsidR="00CD6964" w:rsidRDefault="00CD6964" w:rsidP="00CD6964">
      <w:pPr>
        <w:rPr>
          <w:rFonts w:cs="Calibri"/>
        </w:rPr>
      </w:pPr>
    </w:p>
    <w:p w:rsidR="0044707A" w:rsidRPr="00DB6FFF" w:rsidRDefault="00714A8C" w:rsidP="0044707A">
      <w:pPr>
        <w:pStyle w:val="Heading2"/>
        <w:rPr>
          <w:rFonts w:ascii="Calibri" w:hAnsi="Calibri" w:cs="Calibri"/>
        </w:rPr>
      </w:pPr>
      <w:bookmarkStart w:id="36" w:name="_Toc316336502"/>
      <w:bookmarkStart w:id="37" w:name="_Toc317097305"/>
      <w:bookmarkStart w:id="38" w:name="_Toc317106147"/>
      <w:r w:rsidRPr="00DB6FFF">
        <w:rPr>
          <w:rFonts w:ascii="Calibri" w:hAnsi="Calibri" w:cs="Calibri"/>
        </w:rPr>
        <w:lastRenderedPageBreak/>
        <w:t>Definition and Concept of Operations</w:t>
      </w:r>
      <w:bookmarkEnd w:id="36"/>
      <w:bookmarkEnd w:id="37"/>
      <w:bookmarkEnd w:id="38"/>
    </w:p>
    <w:p w:rsidR="0044707A" w:rsidRPr="00DB6FFF" w:rsidRDefault="00485150" w:rsidP="00EA17F4">
      <w:pPr>
        <w:pStyle w:val="Heading3"/>
        <w:rPr>
          <w:rFonts w:ascii="Calibri" w:hAnsi="Calibri" w:cs="Calibri"/>
        </w:rPr>
      </w:pPr>
      <w:bookmarkStart w:id="39" w:name="_Toc316336503"/>
      <w:bookmarkStart w:id="40" w:name="_Toc317097306"/>
      <w:bookmarkStart w:id="41" w:name="_Toc317106148"/>
      <w:r w:rsidRPr="00DB6FFF">
        <w:rPr>
          <w:rFonts w:ascii="Calibri" w:hAnsi="Calibri" w:cs="Calibri"/>
        </w:rPr>
        <w:t>Definition</w:t>
      </w:r>
      <w:r w:rsidR="0044707A" w:rsidRPr="00DB6FFF">
        <w:rPr>
          <w:rFonts w:ascii="Calibri" w:hAnsi="Calibri" w:cs="Calibri"/>
        </w:rPr>
        <w:t xml:space="preserve"> of </w:t>
      </w:r>
      <w:r w:rsidR="00195AC4">
        <w:rPr>
          <w:rFonts w:ascii="Calibri" w:hAnsi="Calibri" w:cs="Calibri"/>
        </w:rPr>
        <w:t xml:space="preserve">a </w:t>
      </w:r>
      <w:r w:rsidR="0075641B">
        <w:rPr>
          <w:rFonts w:ascii="Calibri" w:hAnsi="Calibri" w:cs="Calibri"/>
        </w:rPr>
        <w:t xml:space="preserve">Close Call </w:t>
      </w:r>
      <w:r w:rsidR="00DE19B0">
        <w:rPr>
          <w:rFonts w:ascii="Calibri" w:hAnsi="Calibri" w:cs="Calibri"/>
        </w:rPr>
        <w:t xml:space="preserve"> </w:t>
      </w:r>
      <w:bookmarkEnd w:id="39"/>
      <w:bookmarkEnd w:id="40"/>
      <w:bookmarkEnd w:id="41"/>
    </w:p>
    <w:p w:rsidR="00195AC4" w:rsidRDefault="00195AC4" w:rsidP="00947533">
      <w:pPr>
        <w:rPr>
          <w:rFonts w:cs="Calibri"/>
        </w:rPr>
      </w:pPr>
      <w:r w:rsidRPr="00DB6FFF">
        <w:rPr>
          <w:rFonts w:cs="Calibri"/>
        </w:rPr>
        <w:t xml:space="preserve">The rail transit industry </w:t>
      </w:r>
      <w:r w:rsidR="00CB20B7">
        <w:rPr>
          <w:rFonts w:cs="Calibri"/>
        </w:rPr>
        <w:t>embodies</w:t>
      </w:r>
      <w:r w:rsidR="002A4765">
        <w:rPr>
          <w:rFonts w:cs="Calibri"/>
        </w:rPr>
        <w:t xml:space="preserve"> many</w:t>
      </w:r>
      <w:r w:rsidR="002A4765" w:rsidRPr="00DB6FFF">
        <w:rPr>
          <w:rFonts w:cs="Calibri"/>
        </w:rPr>
        <w:t xml:space="preserve"> </w:t>
      </w:r>
      <w:r w:rsidRPr="00DB6FFF">
        <w:rPr>
          <w:rFonts w:cs="Calibri"/>
        </w:rPr>
        <w:t xml:space="preserve">diverse </w:t>
      </w:r>
      <w:r w:rsidR="002A4765">
        <w:rPr>
          <w:rFonts w:cs="Calibri"/>
        </w:rPr>
        <w:t xml:space="preserve">characteristics: </w:t>
      </w:r>
      <w:r w:rsidRPr="00DB6FFF">
        <w:rPr>
          <w:rFonts w:cs="Calibri"/>
        </w:rPr>
        <w:t xml:space="preserve">system age, infrastructure, technology, and management structures. Therefore, </w:t>
      </w:r>
      <w:r w:rsidR="00FA2EA6" w:rsidRPr="00DB6FFF">
        <w:rPr>
          <w:rFonts w:cs="Calibri"/>
        </w:rPr>
        <w:t>stakeholde</w:t>
      </w:r>
      <w:r w:rsidR="00FA2EA6">
        <w:rPr>
          <w:rFonts w:cs="Calibri"/>
        </w:rPr>
        <w:t>rs of each individual RTA</w:t>
      </w:r>
      <w:r w:rsidR="00FA2EA6" w:rsidRPr="00DB6FFF">
        <w:rPr>
          <w:rFonts w:cs="Calibri"/>
        </w:rPr>
        <w:t xml:space="preserve"> </w:t>
      </w:r>
      <w:r w:rsidR="00FA2EA6">
        <w:rPr>
          <w:rFonts w:cs="Calibri"/>
        </w:rPr>
        <w:t>must define</w:t>
      </w:r>
      <w:r w:rsidRPr="00DB6FFF">
        <w:rPr>
          <w:rFonts w:cs="Calibri"/>
        </w:rPr>
        <w:t xml:space="preserve"> </w:t>
      </w:r>
      <w:r w:rsidR="002A4765">
        <w:rPr>
          <w:rFonts w:cs="Calibri"/>
        </w:rPr>
        <w:t>the</w:t>
      </w:r>
      <w:r w:rsidRPr="00DB6FFF">
        <w:rPr>
          <w:rFonts w:cs="Calibri"/>
        </w:rPr>
        <w:t xml:space="preserve"> events</w:t>
      </w:r>
      <w:r w:rsidR="002A4765">
        <w:rPr>
          <w:rFonts w:cs="Calibri"/>
        </w:rPr>
        <w:t xml:space="preserve"> that</w:t>
      </w:r>
      <w:r w:rsidRPr="00DB6FFF">
        <w:rPr>
          <w:rFonts w:cs="Calibri"/>
        </w:rPr>
        <w:t xml:space="preserve"> do and do not qualify for</w:t>
      </w:r>
      <w:r>
        <w:rPr>
          <w:rFonts w:cs="Calibri"/>
        </w:rPr>
        <w:t xml:space="preserve"> </w:t>
      </w:r>
      <w:r w:rsidR="008D7209">
        <w:rPr>
          <w:rFonts w:cs="Calibri"/>
        </w:rPr>
        <w:t>close call</w:t>
      </w:r>
      <w:r>
        <w:rPr>
          <w:rFonts w:cs="Calibri"/>
        </w:rPr>
        <w:t xml:space="preserve"> </w:t>
      </w:r>
      <w:r w:rsidR="00046A8D">
        <w:rPr>
          <w:rFonts w:cs="Calibri"/>
        </w:rPr>
        <w:t xml:space="preserve">safety </w:t>
      </w:r>
      <w:r>
        <w:rPr>
          <w:rFonts w:cs="Calibri"/>
        </w:rPr>
        <w:t>reporting</w:t>
      </w:r>
      <w:r w:rsidR="0019646A">
        <w:rPr>
          <w:rFonts w:cs="Calibri"/>
        </w:rPr>
        <w:t xml:space="preserve">. The implementing </w:t>
      </w:r>
      <w:r w:rsidRPr="00DB6FFF">
        <w:rPr>
          <w:rFonts w:cs="Calibri"/>
        </w:rPr>
        <w:t>MOU should clear</w:t>
      </w:r>
      <w:r w:rsidR="002A4765">
        <w:rPr>
          <w:rFonts w:cs="Calibri"/>
        </w:rPr>
        <w:t>ly</w:t>
      </w:r>
      <w:r w:rsidRPr="00DB6FFF">
        <w:rPr>
          <w:rFonts w:cs="Calibri"/>
        </w:rPr>
        <w:t xml:space="preserve"> </w:t>
      </w:r>
      <w:r w:rsidR="002A4765">
        <w:rPr>
          <w:rFonts w:cs="Calibri"/>
        </w:rPr>
        <w:t>define</w:t>
      </w:r>
      <w:r w:rsidR="002A4765" w:rsidRPr="00DB6FFF">
        <w:rPr>
          <w:rFonts w:cs="Calibri"/>
        </w:rPr>
        <w:t xml:space="preserve"> </w:t>
      </w:r>
      <w:r w:rsidRPr="00DB6FFF">
        <w:rPr>
          <w:rFonts w:cs="Calibri"/>
        </w:rPr>
        <w:t xml:space="preserve">and </w:t>
      </w:r>
      <w:r w:rsidR="002A4765">
        <w:rPr>
          <w:rFonts w:cs="Calibri"/>
        </w:rPr>
        <w:t xml:space="preserve">provide </w:t>
      </w:r>
      <w:r w:rsidR="0019646A">
        <w:rPr>
          <w:rFonts w:cs="Calibri"/>
        </w:rPr>
        <w:t xml:space="preserve">specific examples of qualifying </w:t>
      </w:r>
      <w:r>
        <w:rPr>
          <w:rFonts w:cs="Calibri"/>
        </w:rPr>
        <w:t>events</w:t>
      </w:r>
      <w:r w:rsidR="00CB20B7">
        <w:rPr>
          <w:rFonts w:cs="Calibri"/>
        </w:rPr>
        <w:t xml:space="preserve"> and </w:t>
      </w:r>
      <w:r w:rsidRPr="003C3031">
        <w:rPr>
          <w:rFonts w:cs="Calibri"/>
        </w:rPr>
        <w:t xml:space="preserve">should </w:t>
      </w:r>
      <w:r>
        <w:rPr>
          <w:rFonts w:cs="Calibri"/>
        </w:rPr>
        <w:t xml:space="preserve">also </w:t>
      </w:r>
      <w:r w:rsidRPr="003C3031">
        <w:rPr>
          <w:rFonts w:cs="Calibri"/>
        </w:rPr>
        <w:t xml:space="preserve">identify timeframes for reporting, </w:t>
      </w:r>
      <w:r w:rsidR="00CB20B7">
        <w:rPr>
          <w:rFonts w:cs="Calibri"/>
        </w:rPr>
        <w:t>to include</w:t>
      </w:r>
      <w:r w:rsidRPr="003C3031">
        <w:rPr>
          <w:rFonts w:cs="Calibri"/>
        </w:rPr>
        <w:t xml:space="preserve"> extenuating circumstances </w:t>
      </w:r>
      <w:r w:rsidR="00CB20B7">
        <w:rPr>
          <w:rFonts w:cs="Calibri"/>
        </w:rPr>
        <w:t xml:space="preserve">that </w:t>
      </w:r>
      <w:r w:rsidRPr="003C3031">
        <w:rPr>
          <w:rFonts w:cs="Calibri"/>
        </w:rPr>
        <w:t>wou</w:t>
      </w:r>
      <w:r w:rsidRPr="004A36B2">
        <w:rPr>
          <w:rFonts w:cs="Calibri"/>
        </w:rPr>
        <w:t>ld disqualify an event f</w:t>
      </w:r>
      <w:r>
        <w:rPr>
          <w:rFonts w:cs="Calibri"/>
        </w:rPr>
        <w:t xml:space="preserve">rom </w:t>
      </w:r>
      <w:r w:rsidR="0019646A">
        <w:rPr>
          <w:rFonts w:cs="Calibri"/>
        </w:rPr>
        <w:t xml:space="preserve">the </w:t>
      </w:r>
      <w:r w:rsidR="008D7209">
        <w:rPr>
          <w:rFonts w:cs="Calibri"/>
        </w:rPr>
        <w:t>close call</w:t>
      </w:r>
      <w:r>
        <w:rPr>
          <w:rFonts w:cs="Calibri"/>
        </w:rPr>
        <w:t xml:space="preserve"> </w:t>
      </w:r>
      <w:r w:rsidR="00046A8D">
        <w:rPr>
          <w:rFonts w:cs="Calibri"/>
        </w:rPr>
        <w:t xml:space="preserve">safety </w:t>
      </w:r>
      <w:r>
        <w:rPr>
          <w:rFonts w:cs="Calibri"/>
        </w:rPr>
        <w:t>reporting</w:t>
      </w:r>
      <w:r w:rsidR="0019646A">
        <w:rPr>
          <w:rFonts w:cs="Calibri"/>
        </w:rPr>
        <w:t xml:space="preserve"> system</w:t>
      </w:r>
      <w:r>
        <w:rPr>
          <w:rFonts w:cs="Calibri"/>
        </w:rPr>
        <w:t>.</w:t>
      </w:r>
      <w:r>
        <w:rPr>
          <w:rFonts w:cs="Calibri"/>
          <w:b/>
        </w:rPr>
        <w:t xml:space="preserve">  </w:t>
      </w:r>
    </w:p>
    <w:p w:rsidR="00195AC4" w:rsidRPr="00947533" w:rsidRDefault="002A4765" w:rsidP="00947533">
      <w:pPr>
        <w:rPr>
          <w:rFonts w:cs="Calibri"/>
          <w:b/>
        </w:rPr>
      </w:pPr>
      <w:r>
        <w:rPr>
          <w:rFonts w:cs="Calibri"/>
        </w:rPr>
        <w:t>A</w:t>
      </w:r>
      <w:r w:rsidRPr="00DB6FFF">
        <w:rPr>
          <w:rFonts w:cs="Calibri"/>
        </w:rPr>
        <w:t>s a starting point,</w:t>
      </w:r>
      <w:r>
        <w:rPr>
          <w:rFonts w:cs="Calibri"/>
        </w:rPr>
        <w:t xml:space="preserve"> w</w:t>
      </w:r>
      <w:r w:rsidR="00195AC4" w:rsidRPr="00DB6FFF">
        <w:rPr>
          <w:rFonts w:cs="Calibri"/>
        </w:rPr>
        <w:t>e present the following working definition:</w:t>
      </w:r>
    </w:p>
    <w:p w:rsidR="00BD63FB" w:rsidRPr="00BD63FB" w:rsidRDefault="00195AC4" w:rsidP="00BD63FB">
      <w:pPr>
        <w:ind w:left="720"/>
        <w:jc w:val="both"/>
        <w:rPr>
          <w:rFonts w:cs="Calibri"/>
          <w:b/>
        </w:rPr>
      </w:pPr>
      <w:r>
        <w:t xml:space="preserve">A </w:t>
      </w:r>
      <w:r w:rsidRPr="00F402F1">
        <w:rPr>
          <w:b/>
        </w:rPr>
        <w:t>close call</w:t>
      </w:r>
      <w:r>
        <w:t xml:space="preserve"> is a situation or circumstance that had the potential for safety consequences, but did not result in an adverse safety event. </w:t>
      </w:r>
      <w:r w:rsidR="00CF2CF3">
        <w:t>K</w:t>
      </w:r>
      <w:r w:rsidR="00785055">
        <w:t>nowledge about</w:t>
      </w:r>
      <w:r w:rsidR="00CF2CF3">
        <w:t xml:space="preserve"> a </w:t>
      </w:r>
      <w:r w:rsidR="00BD63FB">
        <w:t>c</w:t>
      </w:r>
      <w:r w:rsidR="00CF2CF3">
        <w:t xml:space="preserve">lose </w:t>
      </w:r>
      <w:r w:rsidR="00BD63FB">
        <w:t>c</w:t>
      </w:r>
      <w:r w:rsidR="00CF2CF3">
        <w:t xml:space="preserve">all </w:t>
      </w:r>
      <w:r>
        <w:t xml:space="preserve">presents an opportunity to improve safety practices and culture. </w:t>
      </w:r>
      <w:r w:rsidR="002A4765">
        <w:t>E</w:t>
      </w:r>
      <w:r>
        <w:t xml:space="preserve">vents that do and do not qualify for </w:t>
      </w:r>
      <w:r w:rsidR="008D7209">
        <w:t>close call</w:t>
      </w:r>
      <w:r>
        <w:t xml:space="preserve"> </w:t>
      </w:r>
      <w:r w:rsidR="00046A8D">
        <w:t xml:space="preserve">safety </w:t>
      </w:r>
      <w:r>
        <w:t>reporting must be defined by the stakehol</w:t>
      </w:r>
      <w:r w:rsidR="0019646A">
        <w:t xml:space="preserve">ders of each individual RTA’s implementing </w:t>
      </w:r>
      <w:r>
        <w:t>MOU</w:t>
      </w:r>
      <w:r w:rsidR="00BD63FB">
        <w:rPr>
          <w:rFonts w:cs="Calibri"/>
          <w:b/>
        </w:rPr>
        <w:t>.</w:t>
      </w:r>
    </w:p>
    <w:p w:rsidR="00776460" w:rsidRDefault="00BD63FB" w:rsidP="00BD63FB">
      <w:pPr>
        <w:jc w:val="both"/>
        <w:rPr>
          <w:rFonts w:cs="Calibri"/>
        </w:rPr>
      </w:pPr>
      <w:r>
        <w:rPr>
          <w:rFonts w:cs="Calibri"/>
        </w:rPr>
        <w:t>S</w:t>
      </w:r>
      <w:r w:rsidR="00194A18" w:rsidRPr="00DB6FFF">
        <w:rPr>
          <w:rFonts w:cs="Calibri"/>
        </w:rPr>
        <w:t>ee Appendix A for examples</w:t>
      </w:r>
      <w:r w:rsidR="003F666D">
        <w:rPr>
          <w:rFonts w:cs="Calibri"/>
        </w:rPr>
        <w:t xml:space="preserve"> of </w:t>
      </w:r>
      <w:r w:rsidR="00262D47">
        <w:rPr>
          <w:rFonts w:cs="Calibri"/>
        </w:rPr>
        <w:t xml:space="preserve">situations that could be considered </w:t>
      </w:r>
      <w:r w:rsidR="003F666D">
        <w:rPr>
          <w:rFonts w:cs="Calibri"/>
        </w:rPr>
        <w:t>close call</w:t>
      </w:r>
      <w:r w:rsidR="00CB20B7">
        <w:rPr>
          <w:rFonts w:cs="Calibri"/>
        </w:rPr>
        <w:t>s</w:t>
      </w:r>
      <w:r w:rsidR="003F666D">
        <w:rPr>
          <w:rFonts w:cs="Calibri"/>
        </w:rPr>
        <w:t>.</w:t>
      </w:r>
      <w:r w:rsidR="00194A18">
        <w:rPr>
          <w:rFonts w:cs="Calibri"/>
        </w:rPr>
        <w:t xml:space="preserve"> </w:t>
      </w:r>
    </w:p>
    <w:p w:rsidR="00714A8C" w:rsidRPr="00DB6FFF" w:rsidRDefault="0044707A" w:rsidP="00EA17F4">
      <w:pPr>
        <w:pStyle w:val="Heading3"/>
        <w:rPr>
          <w:rFonts w:ascii="Calibri" w:hAnsi="Calibri" w:cs="Calibri"/>
        </w:rPr>
      </w:pPr>
      <w:bookmarkStart w:id="42" w:name="_Toc316336504"/>
      <w:bookmarkStart w:id="43" w:name="_Toc317097307"/>
      <w:bookmarkStart w:id="44" w:name="_Toc317106149"/>
      <w:r w:rsidRPr="00DB6FFF">
        <w:rPr>
          <w:rFonts w:ascii="Calibri" w:hAnsi="Calibri" w:cs="Calibri"/>
        </w:rPr>
        <w:t>Concept of Operations</w:t>
      </w:r>
      <w:bookmarkEnd w:id="42"/>
      <w:bookmarkEnd w:id="43"/>
      <w:bookmarkEnd w:id="44"/>
    </w:p>
    <w:p w:rsidR="001A6FD3" w:rsidRDefault="00184DE3" w:rsidP="004C37F6">
      <w:pPr>
        <w:rPr>
          <w:rFonts w:cs="Calibri"/>
        </w:rPr>
      </w:pPr>
      <w:r>
        <w:rPr>
          <w:rFonts w:cs="Calibri"/>
        </w:rPr>
        <w:t>A</w:t>
      </w:r>
      <w:r w:rsidRPr="00DB6FFF">
        <w:rPr>
          <w:rFonts w:cs="Calibri"/>
        </w:rPr>
        <w:t xml:space="preserve"> concept</w:t>
      </w:r>
      <w:r w:rsidR="001A6FD3" w:rsidRPr="00DB6FFF">
        <w:rPr>
          <w:rFonts w:cs="Calibri"/>
        </w:rPr>
        <w:t xml:space="preserve"> of operations for a pilot</w:t>
      </w:r>
      <w:r w:rsidR="00E11B7E" w:rsidRPr="00DB6FFF">
        <w:rPr>
          <w:rFonts w:cs="Calibri"/>
        </w:rPr>
        <w:t xml:space="preserve">, confidential, </w:t>
      </w:r>
      <w:r w:rsidR="001A6FD3" w:rsidRPr="00DB6FFF">
        <w:rPr>
          <w:rFonts w:cs="Calibri"/>
        </w:rPr>
        <w:t>non-punitive,</w:t>
      </w:r>
      <w:r w:rsidR="005B1383">
        <w:rPr>
          <w:rFonts w:cs="Calibri"/>
        </w:rPr>
        <w:t xml:space="preserve"> </w:t>
      </w:r>
      <w:r w:rsidR="008D7209">
        <w:rPr>
          <w:rFonts w:cs="Calibri"/>
        </w:rPr>
        <w:t>close call</w:t>
      </w:r>
      <w:r w:rsidR="005B1383">
        <w:rPr>
          <w:rFonts w:cs="Calibri"/>
        </w:rPr>
        <w:t xml:space="preserve"> </w:t>
      </w:r>
      <w:r w:rsidR="00C17469">
        <w:rPr>
          <w:rFonts w:cs="Calibri"/>
        </w:rPr>
        <w:t xml:space="preserve">safety </w:t>
      </w:r>
      <w:r w:rsidR="005B1383">
        <w:rPr>
          <w:rFonts w:cs="Calibri"/>
        </w:rPr>
        <w:t>reporting</w:t>
      </w:r>
      <w:r w:rsidR="001A6FD3" w:rsidRPr="00DB6FFF">
        <w:rPr>
          <w:rFonts w:cs="Calibri"/>
        </w:rPr>
        <w:t xml:space="preserve"> system for the rail transit industry</w:t>
      </w:r>
      <w:r w:rsidR="00CB20B7">
        <w:rPr>
          <w:rFonts w:cs="Calibri"/>
        </w:rPr>
        <w:t xml:space="preserve"> is illustrated in </w:t>
      </w:r>
      <w:r w:rsidR="001E6003">
        <w:rPr>
          <w:rFonts w:cs="Calibri"/>
        </w:rPr>
        <w:fldChar w:fldCharType="begin"/>
      </w:r>
      <w:r w:rsidR="00CB20B7">
        <w:rPr>
          <w:rFonts w:cs="Calibri"/>
        </w:rPr>
        <w:instrText xml:space="preserve"> REF _Ref325379807 \h </w:instrText>
      </w:r>
      <w:r w:rsidR="001E6003">
        <w:rPr>
          <w:rFonts w:cs="Calibri"/>
        </w:rPr>
      </w:r>
      <w:r w:rsidR="001E6003">
        <w:rPr>
          <w:rFonts w:cs="Calibri"/>
        </w:rPr>
        <w:fldChar w:fldCharType="separate"/>
      </w:r>
      <w:r w:rsidR="00CB20B7">
        <w:t xml:space="preserve">Figure </w:t>
      </w:r>
      <w:r w:rsidR="00CB20B7">
        <w:rPr>
          <w:noProof/>
        </w:rPr>
        <w:t>1</w:t>
      </w:r>
      <w:r w:rsidR="001E6003">
        <w:rPr>
          <w:rFonts w:cs="Calibri"/>
        </w:rPr>
        <w:fldChar w:fldCharType="end"/>
      </w:r>
      <w:r w:rsidR="001A6FD3" w:rsidRPr="00DB6FFF">
        <w:rPr>
          <w:rFonts w:cs="Calibri"/>
        </w:rPr>
        <w:t xml:space="preserve">. This concept closely conforms </w:t>
      </w:r>
      <w:r w:rsidR="00CF7440">
        <w:rPr>
          <w:rFonts w:cs="Calibri"/>
        </w:rPr>
        <w:t>with</w:t>
      </w:r>
      <w:r w:rsidR="00CF7440" w:rsidRPr="00DB6FFF">
        <w:rPr>
          <w:rFonts w:cs="Calibri"/>
        </w:rPr>
        <w:t xml:space="preserve"> </w:t>
      </w:r>
      <w:r w:rsidR="001A6FD3" w:rsidRPr="00DB6FFF">
        <w:rPr>
          <w:rFonts w:cs="Calibri"/>
        </w:rPr>
        <w:t xml:space="preserve">the structure of the existing </w:t>
      </w:r>
      <w:r w:rsidR="00E11B7E" w:rsidRPr="00DB6FFF">
        <w:rPr>
          <w:rFonts w:cs="Calibri"/>
        </w:rPr>
        <w:t>C</w:t>
      </w:r>
      <w:r w:rsidR="00E11B7E" w:rsidRPr="00DB6FFF">
        <w:rPr>
          <w:rFonts w:cs="Calibri"/>
          <w:vertAlign w:val="superscript"/>
        </w:rPr>
        <w:t>3</w:t>
      </w:r>
      <w:r w:rsidR="00E11B7E" w:rsidRPr="00DB6FFF">
        <w:rPr>
          <w:rFonts w:cs="Calibri"/>
        </w:rPr>
        <w:t xml:space="preserve">RS </w:t>
      </w:r>
      <w:r w:rsidR="001A6FD3" w:rsidRPr="00DB6FFF">
        <w:rPr>
          <w:rFonts w:cs="Calibri"/>
        </w:rPr>
        <w:t>system used by FRA</w:t>
      </w:r>
      <w:r w:rsidR="00FE086D">
        <w:rPr>
          <w:rFonts w:cs="Calibri"/>
        </w:rPr>
        <w:t xml:space="preserve"> pilots, with NASA and </w:t>
      </w:r>
      <w:r w:rsidR="00AB4E09">
        <w:rPr>
          <w:rFonts w:cs="Calibri"/>
        </w:rPr>
        <w:t>BTS</w:t>
      </w:r>
      <w:r w:rsidR="00FE086D">
        <w:rPr>
          <w:rFonts w:cs="Calibri"/>
        </w:rPr>
        <w:t xml:space="preserve"> as third</w:t>
      </w:r>
      <w:r w:rsidR="005B674F">
        <w:rPr>
          <w:rFonts w:cs="Calibri"/>
        </w:rPr>
        <w:t>-</w:t>
      </w:r>
      <w:r w:rsidR="00FE086D">
        <w:rPr>
          <w:rFonts w:cs="Calibri"/>
        </w:rPr>
        <w:t>party agencies</w:t>
      </w:r>
      <w:r w:rsidR="001A6FD3" w:rsidRPr="00DB6FFF">
        <w:rPr>
          <w:rFonts w:cs="Calibri"/>
        </w:rPr>
        <w:t>.</w:t>
      </w:r>
      <w:r w:rsidR="00AB4E09">
        <w:rPr>
          <w:rFonts w:cs="Calibri"/>
        </w:rPr>
        <w:t xml:space="preserve"> </w:t>
      </w:r>
      <w:r w:rsidR="00CB20B7">
        <w:rPr>
          <w:rFonts w:cs="Calibri"/>
        </w:rPr>
        <w:t>D</w:t>
      </w:r>
      <w:r w:rsidR="000850EF">
        <w:rPr>
          <w:rFonts w:cs="Calibri"/>
        </w:rPr>
        <w:t>escriptions of each phase follow</w:t>
      </w:r>
      <w:r w:rsidR="00AB4E09">
        <w:rPr>
          <w:rFonts w:cs="Calibri"/>
        </w:rPr>
        <w:t>.</w:t>
      </w:r>
    </w:p>
    <w:p w:rsidR="00BD0B61" w:rsidRDefault="00D00639" w:rsidP="007B29CB">
      <w:pPr>
        <w:keepNext/>
        <w:jc w:val="center"/>
      </w:pPr>
      <w:r>
        <w:rPr>
          <w:rFonts w:cs="Calibri"/>
          <w:noProof/>
        </w:rPr>
        <w:lastRenderedPageBreak/>
        <w:drawing>
          <wp:inline distT="0" distB="0" distL="0" distR="0" wp14:anchorId="07205FC9" wp14:editId="0007441E">
            <wp:extent cx="5943600" cy="3965575"/>
            <wp:effectExtent l="0" t="0" r="0" b="1587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D0B61" w:rsidRDefault="00BD0B61" w:rsidP="00BD0B61">
      <w:pPr>
        <w:pStyle w:val="Caption"/>
        <w:rPr>
          <w:rFonts w:cs="Calibri"/>
        </w:rPr>
      </w:pPr>
      <w:bookmarkStart w:id="45" w:name="_Ref325379807"/>
      <w:r>
        <w:t xml:space="preserve">Figure </w:t>
      </w:r>
      <w:fldSimple w:instr=" SEQ Figure \* ARABIC ">
        <w:r w:rsidR="00517329">
          <w:rPr>
            <w:noProof/>
          </w:rPr>
          <w:t>1</w:t>
        </w:r>
      </w:fldSimple>
      <w:bookmarkEnd w:id="45"/>
      <w:r>
        <w:t>:  Concept of Operations for a Confidential, Non-Punitive, Close</w:t>
      </w:r>
      <w:r w:rsidR="008D7209">
        <w:t xml:space="preserve"> </w:t>
      </w:r>
      <w:r>
        <w:t xml:space="preserve">Call </w:t>
      </w:r>
      <w:r w:rsidR="00422843">
        <w:t xml:space="preserve">Safety </w:t>
      </w:r>
      <w:r>
        <w:t>Reporting System</w:t>
      </w:r>
    </w:p>
    <w:p w:rsidR="00BD0B61" w:rsidRPr="00DB6FFF" w:rsidRDefault="00BD0B61" w:rsidP="004C37F6">
      <w:pPr>
        <w:rPr>
          <w:rFonts w:cs="Calibri"/>
        </w:rPr>
      </w:pPr>
    </w:p>
    <w:p w:rsidR="00B0044A" w:rsidRPr="00DB6FFF" w:rsidRDefault="00D00639" w:rsidP="00BD46F4">
      <w:pPr>
        <w:spacing w:after="120"/>
        <w:rPr>
          <w:rFonts w:cs="Calibri"/>
        </w:rPr>
      </w:pPr>
      <w:r>
        <w:rPr>
          <w:rFonts w:cs="Calibri"/>
          <w:noProof/>
        </w:rPr>
        <w:drawing>
          <wp:anchor distT="0" distB="0" distL="114300" distR="114300" simplePos="0" relativeHeight="251655168" behindDoc="0" locked="0" layoutInCell="1" allowOverlap="1" wp14:anchorId="31CCD8D0" wp14:editId="1AA679F5">
            <wp:simplePos x="0" y="0"/>
            <wp:positionH relativeFrom="column">
              <wp:posOffset>0</wp:posOffset>
            </wp:positionH>
            <wp:positionV relativeFrom="paragraph">
              <wp:posOffset>-2540</wp:posOffset>
            </wp:positionV>
            <wp:extent cx="1694815" cy="585470"/>
            <wp:effectExtent l="0" t="0" r="635" b="508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4815" cy="585470"/>
                    </a:xfrm>
                    <a:prstGeom prst="rect">
                      <a:avLst/>
                    </a:prstGeom>
                    <a:noFill/>
                    <a:ln>
                      <a:noFill/>
                    </a:ln>
                  </pic:spPr>
                </pic:pic>
              </a:graphicData>
            </a:graphic>
          </wp:anchor>
        </w:drawing>
      </w:r>
      <w:r w:rsidR="0044707A" w:rsidRPr="00DB6FFF">
        <w:rPr>
          <w:rFonts w:cs="Calibri"/>
        </w:rPr>
        <w:t>Individual agencies</w:t>
      </w:r>
      <w:r w:rsidR="002A6E56">
        <w:rPr>
          <w:rFonts w:cs="Calibri"/>
        </w:rPr>
        <w:t>, labor unions</w:t>
      </w:r>
      <w:r w:rsidR="00CF7440">
        <w:rPr>
          <w:rFonts w:cs="Calibri"/>
        </w:rPr>
        <w:t>,</w:t>
      </w:r>
      <w:r w:rsidR="0044707A" w:rsidRPr="00DB6FFF">
        <w:rPr>
          <w:rFonts w:cs="Calibri"/>
        </w:rPr>
        <w:t xml:space="preserve"> and </w:t>
      </w:r>
      <w:r w:rsidR="002A6E56">
        <w:rPr>
          <w:rFonts w:cs="Calibri"/>
        </w:rPr>
        <w:t xml:space="preserve">other </w:t>
      </w:r>
      <w:r w:rsidR="0044707A" w:rsidRPr="00DB6FFF">
        <w:rPr>
          <w:rFonts w:cs="Calibri"/>
        </w:rPr>
        <w:t xml:space="preserve">participating stakeholders </w:t>
      </w:r>
      <w:r w:rsidR="001A6FD3" w:rsidRPr="00DB6FFF">
        <w:rPr>
          <w:rFonts w:cs="Calibri"/>
        </w:rPr>
        <w:t xml:space="preserve">work collaboratively to develop and </w:t>
      </w:r>
      <w:r w:rsidR="0044707A" w:rsidRPr="00DB6FFF">
        <w:rPr>
          <w:rFonts w:cs="Calibri"/>
        </w:rPr>
        <w:t>sign a</w:t>
      </w:r>
      <w:r w:rsidR="001A6FD3" w:rsidRPr="00DB6FFF">
        <w:rPr>
          <w:rFonts w:cs="Calibri"/>
        </w:rPr>
        <w:t xml:space="preserve">n </w:t>
      </w:r>
      <w:r w:rsidR="0019646A">
        <w:rPr>
          <w:rFonts w:cs="Calibri"/>
        </w:rPr>
        <w:t xml:space="preserve">implementing </w:t>
      </w:r>
      <w:r w:rsidR="001A6FD3" w:rsidRPr="00DB6FFF">
        <w:rPr>
          <w:rFonts w:cs="Calibri"/>
        </w:rPr>
        <w:t>M</w:t>
      </w:r>
      <w:r w:rsidR="00B501CD" w:rsidRPr="00DB6FFF">
        <w:rPr>
          <w:rFonts w:cs="Calibri"/>
        </w:rPr>
        <w:t>O</w:t>
      </w:r>
      <w:r w:rsidR="001A6FD3" w:rsidRPr="00DB6FFF">
        <w:rPr>
          <w:rFonts w:cs="Calibri"/>
        </w:rPr>
        <w:t xml:space="preserve">U </w:t>
      </w:r>
      <w:r w:rsidR="0044707A" w:rsidRPr="00DB6FFF">
        <w:rPr>
          <w:rFonts w:cs="Calibri"/>
        </w:rPr>
        <w:t>with a third-party agency</w:t>
      </w:r>
      <w:r w:rsidR="00050741" w:rsidRPr="00DB6FFF">
        <w:rPr>
          <w:rFonts w:cs="Calibri"/>
        </w:rPr>
        <w:t xml:space="preserve">, </w:t>
      </w:r>
      <w:r w:rsidR="0044707A" w:rsidRPr="00DB6FFF">
        <w:rPr>
          <w:rFonts w:cs="Calibri"/>
        </w:rPr>
        <w:t>FTA</w:t>
      </w:r>
      <w:r w:rsidR="00050741" w:rsidRPr="00DB6FFF">
        <w:rPr>
          <w:rFonts w:cs="Calibri"/>
        </w:rPr>
        <w:t>, and SSO(s) (when applicable)</w:t>
      </w:r>
      <w:r w:rsidR="0044707A" w:rsidRPr="00DB6FFF">
        <w:rPr>
          <w:rFonts w:cs="Calibri"/>
        </w:rPr>
        <w:t xml:space="preserve">. </w:t>
      </w:r>
      <w:r w:rsidR="001A6FD3" w:rsidRPr="00DB6FFF">
        <w:rPr>
          <w:rFonts w:cs="Calibri"/>
        </w:rPr>
        <w:t xml:space="preserve">The </w:t>
      </w:r>
      <w:r w:rsidR="00E8734B">
        <w:rPr>
          <w:rFonts w:cs="Calibri"/>
        </w:rPr>
        <w:t xml:space="preserve">implementing </w:t>
      </w:r>
      <w:r w:rsidR="0044707A" w:rsidRPr="00DB6FFF">
        <w:rPr>
          <w:rFonts w:cs="Calibri"/>
        </w:rPr>
        <w:t>M</w:t>
      </w:r>
      <w:r w:rsidR="00B501CD" w:rsidRPr="00DB6FFF">
        <w:rPr>
          <w:rFonts w:cs="Calibri"/>
        </w:rPr>
        <w:t>O</w:t>
      </w:r>
      <w:r w:rsidR="0044707A" w:rsidRPr="00DB6FFF">
        <w:rPr>
          <w:rFonts w:cs="Calibri"/>
        </w:rPr>
        <w:t xml:space="preserve">U includes specific details of program operations, including reporting mechanism(s) and timeframe, confidentiality protection procedures, composition of </w:t>
      </w:r>
      <w:r w:rsidR="00B0044A" w:rsidRPr="00DB6FFF">
        <w:rPr>
          <w:rFonts w:cs="Calibri"/>
        </w:rPr>
        <w:t xml:space="preserve">the </w:t>
      </w:r>
      <w:r w:rsidR="0044707A" w:rsidRPr="00DB6FFF">
        <w:rPr>
          <w:rFonts w:cs="Calibri"/>
        </w:rPr>
        <w:t xml:space="preserve">PRT, </w:t>
      </w:r>
      <w:r w:rsidR="001A6FD3" w:rsidRPr="00DB6FFF">
        <w:rPr>
          <w:rFonts w:cs="Calibri"/>
        </w:rPr>
        <w:t>definition</w:t>
      </w:r>
      <w:r w:rsidR="00B0044A" w:rsidRPr="00DB6FFF">
        <w:rPr>
          <w:rFonts w:cs="Calibri"/>
        </w:rPr>
        <w:t>s</w:t>
      </w:r>
      <w:r w:rsidR="001A6FD3" w:rsidRPr="00DB6FFF">
        <w:rPr>
          <w:rFonts w:cs="Calibri"/>
        </w:rPr>
        <w:t xml:space="preserve"> of </w:t>
      </w:r>
      <w:r w:rsidR="00B0044A" w:rsidRPr="00DB6FFF">
        <w:rPr>
          <w:rFonts w:cs="Calibri"/>
        </w:rPr>
        <w:t>qualifying and non-qualifying reports</w:t>
      </w:r>
      <w:r w:rsidR="001A6FD3" w:rsidRPr="00DB6FFF">
        <w:rPr>
          <w:rFonts w:cs="Calibri"/>
        </w:rPr>
        <w:t xml:space="preserve">, conditions for reporting of trend data, </w:t>
      </w:r>
      <w:r w:rsidR="0044707A" w:rsidRPr="00DB6FFF">
        <w:rPr>
          <w:rFonts w:cs="Calibri"/>
        </w:rPr>
        <w:t>and funding of the third-party agency.</w:t>
      </w:r>
    </w:p>
    <w:p w:rsidR="00BD0B61" w:rsidRDefault="00B0044A" w:rsidP="00CD6964">
      <w:pPr>
        <w:spacing w:after="0"/>
        <w:ind w:left="720"/>
        <w:rPr>
          <w:rFonts w:cs="Calibri"/>
        </w:rPr>
      </w:pPr>
      <w:r w:rsidRPr="0008366E">
        <w:rPr>
          <w:rFonts w:cs="Calibri"/>
          <w:b/>
        </w:rPr>
        <w:t>Note:</w:t>
      </w:r>
      <w:r w:rsidRPr="00553B04">
        <w:rPr>
          <w:rFonts w:cs="Calibri"/>
        </w:rPr>
        <w:t xml:space="preserve"> Existing C</w:t>
      </w:r>
      <w:r w:rsidRPr="00553B04">
        <w:rPr>
          <w:rFonts w:cs="Calibri"/>
          <w:vertAlign w:val="superscript"/>
        </w:rPr>
        <w:t>3</w:t>
      </w:r>
      <w:r w:rsidRPr="00553B04">
        <w:rPr>
          <w:rFonts w:cs="Calibri"/>
        </w:rPr>
        <w:t xml:space="preserve">RS </w:t>
      </w:r>
      <w:r w:rsidR="0019646A">
        <w:rPr>
          <w:rFonts w:cs="Calibri"/>
        </w:rPr>
        <w:t xml:space="preserve">implementing </w:t>
      </w:r>
      <w:r w:rsidRPr="00553B04">
        <w:rPr>
          <w:rFonts w:cs="Calibri"/>
        </w:rPr>
        <w:t xml:space="preserve">MOUs could be used as a quasi-boilerplate or starting point. </w:t>
      </w:r>
      <w:r w:rsidR="00A61807">
        <w:rPr>
          <w:rFonts w:cs="Calibri"/>
        </w:rPr>
        <w:t>Appendix B of this report provides a model MOU, adapted from a C</w:t>
      </w:r>
      <w:r w:rsidR="00A61807" w:rsidRPr="00947533">
        <w:rPr>
          <w:rFonts w:cs="Calibri"/>
          <w:vertAlign w:val="superscript"/>
        </w:rPr>
        <w:t>3</w:t>
      </w:r>
      <w:r w:rsidR="00A61807">
        <w:rPr>
          <w:rFonts w:cs="Calibri"/>
        </w:rPr>
        <w:t xml:space="preserve">RS implementing MOU, which could be used </w:t>
      </w:r>
      <w:r w:rsidR="00D93735">
        <w:rPr>
          <w:rFonts w:cs="Calibri"/>
        </w:rPr>
        <w:t>for this purpose</w:t>
      </w:r>
      <w:r w:rsidR="00A61807">
        <w:rPr>
          <w:rFonts w:cs="Calibri"/>
        </w:rPr>
        <w:t xml:space="preserve">. </w:t>
      </w:r>
      <w:r w:rsidRPr="00553B04">
        <w:rPr>
          <w:rFonts w:cs="Calibri"/>
        </w:rPr>
        <w:t xml:space="preserve">However, all parties should be actively engaged in reviewing and modifying the </w:t>
      </w:r>
      <w:r w:rsidR="0019646A">
        <w:rPr>
          <w:rFonts w:cs="Calibri"/>
        </w:rPr>
        <w:t xml:space="preserve">implementing </w:t>
      </w:r>
      <w:r w:rsidRPr="00553B04">
        <w:rPr>
          <w:rFonts w:cs="Calibri"/>
        </w:rPr>
        <w:t>MOU to identify unique issues</w:t>
      </w:r>
      <w:r w:rsidR="00D732C6">
        <w:rPr>
          <w:rFonts w:cs="Calibri"/>
        </w:rPr>
        <w:t xml:space="preserve"> that should be addressed and</w:t>
      </w:r>
      <w:r w:rsidRPr="00553B04">
        <w:rPr>
          <w:rFonts w:cs="Calibri"/>
        </w:rPr>
        <w:t xml:space="preserve"> facilitate buy-in from all stakeholders.</w:t>
      </w:r>
      <w:r w:rsidR="00E8734B">
        <w:rPr>
          <w:rFonts w:cs="Calibri"/>
        </w:rPr>
        <w:t xml:space="preserve"> </w:t>
      </w:r>
    </w:p>
    <w:p w:rsidR="00262D47" w:rsidRDefault="00262D47" w:rsidP="00CD6964">
      <w:pPr>
        <w:spacing w:after="0"/>
        <w:ind w:left="720"/>
        <w:rPr>
          <w:rFonts w:cs="Calibri"/>
        </w:rPr>
      </w:pPr>
    </w:p>
    <w:p w:rsidR="00AC1217" w:rsidRDefault="00AC1217" w:rsidP="00CD6964">
      <w:pPr>
        <w:spacing w:after="0"/>
        <w:ind w:left="720"/>
        <w:rPr>
          <w:rFonts w:cs="Calibri"/>
        </w:rPr>
      </w:pPr>
    </w:p>
    <w:p w:rsidR="00BD0B61" w:rsidRDefault="00D00639" w:rsidP="0008366E">
      <w:pPr>
        <w:spacing w:after="120"/>
        <w:rPr>
          <w:rFonts w:cs="Calibri"/>
        </w:rPr>
      </w:pPr>
      <w:r>
        <w:rPr>
          <w:rFonts w:cs="Calibri"/>
          <w:noProof/>
        </w:rPr>
        <w:lastRenderedPageBreak/>
        <w:drawing>
          <wp:anchor distT="0" distB="0" distL="114300" distR="114300" simplePos="0" relativeHeight="251656192" behindDoc="0" locked="0" layoutInCell="1" allowOverlap="1" wp14:anchorId="7FA17DAC" wp14:editId="715F2F3C">
            <wp:simplePos x="0" y="0"/>
            <wp:positionH relativeFrom="column">
              <wp:posOffset>0</wp:posOffset>
            </wp:positionH>
            <wp:positionV relativeFrom="paragraph">
              <wp:posOffset>24130</wp:posOffset>
            </wp:positionV>
            <wp:extent cx="1694815" cy="585470"/>
            <wp:effectExtent l="0" t="0" r="635" b="508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4815" cy="585470"/>
                    </a:xfrm>
                    <a:prstGeom prst="rect">
                      <a:avLst/>
                    </a:prstGeom>
                    <a:noFill/>
                    <a:ln>
                      <a:noFill/>
                    </a:ln>
                  </pic:spPr>
                </pic:pic>
              </a:graphicData>
            </a:graphic>
          </wp:anchor>
        </w:drawing>
      </w:r>
      <w:r w:rsidR="00434EA4" w:rsidRPr="00DB6FFF">
        <w:rPr>
          <w:rFonts w:cs="Calibri"/>
        </w:rPr>
        <w:t>E</w:t>
      </w:r>
      <w:r w:rsidR="002A2330" w:rsidRPr="00DB6FFF">
        <w:rPr>
          <w:rFonts w:cs="Calibri"/>
        </w:rPr>
        <w:t xml:space="preserve">mployees </w:t>
      </w:r>
      <w:r w:rsidR="0044707A" w:rsidRPr="00DB6FFF">
        <w:rPr>
          <w:rFonts w:cs="Calibri"/>
        </w:rPr>
        <w:t xml:space="preserve">can voluntarily report an incident </w:t>
      </w:r>
      <w:r w:rsidR="002A2330" w:rsidRPr="00DB6FFF">
        <w:rPr>
          <w:rFonts w:cs="Calibri"/>
        </w:rPr>
        <w:t xml:space="preserve">or concern </w:t>
      </w:r>
      <w:r w:rsidR="00B228DC" w:rsidRPr="00DB6FFF">
        <w:rPr>
          <w:rFonts w:cs="Calibri"/>
        </w:rPr>
        <w:t xml:space="preserve">directly to the designated third-party agency </w:t>
      </w:r>
      <w:r w:rsidR="0044707A" w:rsidRPr="00DB6FFF">
        <w:rPr>
          <w:rFonts w:cs="Calibri"/>
        </w:rPr>
        <w:t>following the procedures detailed in the</w:t>
      </w:r>
      <w:r w:rsidR="001A6FD3" w:rsidRPr="00DB6FFF">
        <w:rPr>
          <w:rFonts w:cs="Calibri"/>
        </w:rPr>
        <w:t xml:space="preserve"> </w:t>
      </w:r>
      <w:r w:rsidR="0019646A">
        <w:rPr>
          <w:rFonts w:cs="Calibri"/>
        </w:rPr>
        <w:t xml:space="preserve">implementing </w:t>
      </w:r>
      <w:r w:rsidR="0044707A" w:rsidRPr="00DB6FFF">
        <w:rPr>
          <w:rFonts w:cs="Calibri"/>
        </w:rPr>
        <w:t>M</w:t>
      </w:r>
      <w:r w:rsidR="002A2330" w:rsidRPr="00DB6FFF">
        <w:rPr>
          <w:rFonts w:cs="Calibri"/>
        </w:rPr>
        <w:t>O</w:t>
      </w:r>
      <w:r w:rsidR="00BD46F4" w:rsidRPr="00DB6FFF">
        <w:rPr>
          <w:rFonts w:cs="Calibri"/>
        </w:rPr>
        <w:t>U (e.g.</w:t>
      </w:r>
      <w:r w:rsidR="002A4765">
        <w:rPr>
          <w:rFonts w:cs="Calibri"/>
        </w:rPr>
        <w:t>,</w:t>
      </w:r>
      <w:r w:rsidR="00BD46F4" w:rsidRPr="00DB6FFF">
        <w:rPr>
          <w:rFonts w:cs="Calibri"/>
        </w:rPr>
        <w:t xml:space="preserve"> </w:t>
      </w:r>
      <w:r w:rsidR="00F15F9B">
        <w:rPr>
          <w:rFonts w:cs="Calibri"/>
        </w:rPr>
        <w:t>p</w:t>
      </w:r>
      <w:r w:rsidR="00BD46F4" w:rsidRPr="00DB6FFF">
        <w:rPr>
          <w:rFonts w:cs="Calibri"/>
        </w:rPr>
        <w:t>hone</w:t>
      </w:r>
      <w:r w:rsidR="0044707A" w:rsidRPr="00DB6FFF">
        <w:rPr>
          <w:rFonts w:cs="Calibri"/>
        </w:rPr>
        <w:t xml:space="preserve"> call, paper</w:t>
      </w:r>
      <w:r w:rsidR="002A4765">
        <w:rPr>
          <w:rFonts w:cs="Calibri"/>
        </w:rPr>
        <w:t>,</w:t>
      </w:r>
      <w:r w:rsidR="0044707A" w:rsidRPr="00DB6FFF">
        <w:rPr>
          <w:rFonts w:cs="Calibri"/>
        </w:rPr>
        <w:t xml:space="preserve"> </w:t>
      </w:r>
      <w:r w:rsidR="00BD46F4" w:rsidRPr="00DB6FFF">
        <w:rPr>
          <w:rFonts w:cs="Calibri"/>
        </w:rPr>
        <w:t>or</w:t>
      </w:r>
      <w:r w:rsidR="0044707A" w:rsidRPr="00DB6FFF">
        <w:rPr>
          <w:rFonts w:cs="Calibri"/>
        </w:rPr>
        <w:t xml:space="preserve"> electronic submission). </w:t>
      </w:r>
      <w:r w:rsidR="00A61807">
        <w:rPr>
          <w:rFonts w:cs="Calibri"/>
        </w:rPr>
        <w:t>All reports are kept confidential</w:t>
      </w:r>
      <w:r w:rsidR="00D93735">
        <w:rPr>
          <w:rFonts w:cs="Calibri"/>
        </w:rPr>
        <w:t xml:space="preserve">; </w:t>
      </w:r>
      <w:r w:rsidR="00A61807">
        <w:rPr>
          <w:rFonts w:cs="Calibri"/>
        </w:rPr>
        <w:t>the identity of the individual submitting the report is never revealed beyond the third</w:t>
      </w:r>
      <w:r w:rsidR="002A4765">
        <w:rPr>
          <w:rFonts w:cs="Calibri"/>
        </w:rPr>
        <w:t>-</w:t>
      </w:r>
      <w:r w:rsidR="00A61807">
        <w:rPr>
          <w:rFonts w:cs="Calibri"/>
        </w:rPr>
        <w:t xml:space="preserve">party agency. </w:t>
      </w:r>
      <w:r w:rsidR="0044707A" w:rsidRPr="00DB6FFF">
        <w:rPr>
          <w:rFonts w:cs="Calibri"/>
        </w:rPr>
        <w:t xml:space="preserve">Employees receive </w:t>
      </w:r>
      <w:r w:rsidR="001C34DD">
        <w:rPr>
          <w:rFonts w:cs="Calibri"/>
        </w:rPr>
        <w:t>protection</w:t>
      </w:r>
      <w:r w:rsidR="001C34DD" w:rsidRPr="00DB6FFF">
        <w:rPr>
          <w:rFonts w:cs="Calibri"/>
        </w:rPr>
        <w:t xml:space="preserve"> </w:t>
      </w:r>
      <w:r w:rsidR="0044707A" w:rsidRPr="00DB6FFF">
        <w:rPr>
          <w:rFonts w:cs="Calibri"/>
        </w:rPr>
        <w:t xml:space="preserve">from disciplinary action when they report qualifying </w:t>
      </w:r>
      <w:r w:rsidR="0019646A">
        <w:rPr>
          <w:rFonts w:cs="Calibri"/>
        </w:rPr>
        <w:t>events</w:t>
      </w:r>
      <w:r w:rsidR="0044707A" w:rsidRPr="00DB6FFF">
        <w:rPr>
          <w:rFonts w:cs="Calibri"/>
        </w:rPr>
        <w:t>.</w:t>
      </w:r>
    </w:p>
    <w:p w:rsidR="0008366E" w:rsidRPr="00DB6FFF" w:rsidRDefault="0008366E" w:rsidP="0008366E">
      <w:pPr>
        <w:spacing w:after="120"/>
        <w:rPr>
          <w:rFonts w:cs="Calibri"/>
        </w:rPr>
      </w:pPr>
    </w:p>
    <w:p w:rsidR="006448F3" w:rsidRDefault="00D00639" w:rsidP="000850EF">
      <w:pPr>
        <w:spacing w:after="360"/>
        <w:rPr>
          <w:rFonts w:cs="Calibri"/>
        </w:rPr>
      </w:pPr>
      <w:r>
        <w:rPr>
          <w:rFonts w:cs="Calibri"/>
          <w:noProof/>
        </w:rPr>
        <w:drawing>
          <wp:anchor distT="0" distB="0" distL="114300" distR="114300" simplePos="0" relativeHeight="251657216" behindDoc="0" locked="0" layoutInCell="1" allowOverlap="1" wp14:anchorId="6BA40575" wp14:editId="0E7252AB">
            <wp:simplePos x="0" y="0"/>
            <wp:positionH relativeFrom="column">
              <wp:posOffset>0</wp:posOffset>
            </wp:positionH>
            <wp:positionV relativeFrom="paragraph">
              <wp:posOffset>1905</wp:posOffset>
            </wp:positionV>
            <wp:extent cx="1694815" cy="585470"/>
            <wp:effectExtent l="0" t="0" r="63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94815" cy="585470"/>
                    </a:xfrm>
                    <a:prstGeom prst="rect">
                      <a:avLst/>
                    </a:prstGeom>
                    <a:noFill/>
                    <a:ln>
                      <a:noFill/>
                    </a:ln>
                  </pic:spPr>
                </pic:pic>
              </a:graphicData>
            </a:graphic>
          </wp:anchor>
        </w:drawing>
      </w:r>
      <w:r w:rsidR="00050741" w:rsidRPr="00DB6FFF">
        <w:rPr>
          <w:rFonts w:cs="Calibri"/>
        </w:rPr>
        <w:t>The t</w:t>
      </w:r>
      <w:r w:rsidR="0044707A" w:rsidRPr="00DB6FFF">
        <w:rPr>
          <w:rFonts w:cs="Calibri"/>
        </w:rPr>
        <w:t xml:space="preserve">hird-party agency determines if the report meets the requirements of the </w:t>
      </w:r>
      <w:r w:rsidR="00DB5D10">
        <w:rPr>
          <w:rFonts w:cs="Calibri"/>
        </w:rPr>
        <w:t xml:space="preserve">implementing </w:t>
      </w:r>
      <w:r w:rsidR="00FA4625">
        <w:rPr>
          <w:rFonts w:cs="Calibri"/>
        </w:rPr>
        <w:t>MOU</w:t>
      </w:r>
      <w:r w:rsidR="0044707A" w:rsidRPr="00DB6FFF">
        <w:rPr>
          <w:rFonts w:cs="Calibri"/>
        </w:rPr>
        <w:t xml:space="preserve"> and</w:t>
      </w:r>
      <w:r w:rsidR="00A61807">
        <w:rPr>
          <w:rFonts w:cs="Calibri"/>
        </w:rPr>
        <w:t xml:space="preserve"> </w:t>
      </w:r>
      <w:r w:rsidR="00D93735">
        <w:rPr>
          <w:rFonts w:cs="Calibri"/>
        </w:rPr>
        <w:t>follows up with the reporting employee</w:t>
      </w:r>
      <w:r w:rsidR="00C72EAF">
        <w:rPr>
          <w:rFonts w:cs="Calibri"/>
        </w:rPr>
        <w:t>,</w:t>
      </w:r>
      <w:r w:rsidR="00A61807" w:rsidRPr="00DB6FFF">
        <w:rPr>
          <w:rFonts w:cs="Calibri"/>
        </w:rPr>
        <w:t xml:space="preserve"> informing </w:t>
      </w:r>
      <w:r w:rsidR="00530039">
        <w:rPr>
          <w:rFonts w:cs="Calibri"/>
        </w:rPr>
        <w:t>him or her</w:t>
      </w:r>
      <w:r w:rsidR="00530039" w:rsidRPr="00DB6FFF">
        <w:rPr>
          <w:rFonts w:cs="Calibri"/>
        </w:rPr>
        <w:t xml:space="preserve"> </w:t>
      </w:r>
      <w:r w:rsidR="00A61807" w:rsidRPr="00DB6FFF">
        <w:rPr>
          <w:rFonts w:cs="Calibri"/>
        </w:rPr>
        <w:t>whether the report was accepted as a qualifying report.</w:t>
      </w:r>
      <w:r w:rsidR="00D93735">
        <w:rPr>
          <w:rFonts w:cs="Calibri"/>
        </w:rPr>
        <w:t xml:space="preserve"> If </w:t>
      </w:r>
      <w:r w:rsidR="00530039">
        <w:rPr>
          <w:rFonts w:cs="Calibri"/>
        </w:rPr>
        <w:t xml:space="preserve">it </w:t>
      </w:r>
      <w:r w:rsidR="002A4765">
        <w:rPr>
          <w:rFonts w:cs="Calibri"/>
        </w:rPr>
        <w:t>is not accepted</w:t>
      </w:r>
      <w:r w:rsidR="00D93735">
        <w:rPr>
          <w:rFonts w:cs="Calibri"/>
        </w:rPr>
        <w:t xml:space="preserve"> under the terms of the implementing MOU, the reporting employee receives an explanation </w:t>
      </w:r>
      <w:r w:rsidR="006448F3">
        <w:rPr>
          <w:rFonts w:cs="Calibri"/>
        </w:rPr>
        <w:t xml:space="preserve">from the third-party agency </w:t>
      </w:r>
      <w:r w:rsidR="00D93735">
        <w:rPr>
          <w:rFonts w:cs="Calibri"/>
        </w:rPr>
        <w:t xml:space="preserve">as to why </w:t>
      </w:r>
      <w:r w:rsidR="002A4765">
        <w:rPr>
          <w:rFonts w:cs="Calibri"/>
        </w:rPr>
        <w:t>it</w:t>
      </w:r>
      <w:r w:rsidR="00D93735">
        <w:rPr>
          <w:rFonts w:cs="Calibri"/>
        </w:rPr>
        <w:t xml:space="preserve"> did not qualify</w:t>
      </w:r>
      <w:r w:rsidR="003971E2">
        <w:rPr>
          <w:rFonts w:cs="Calibri"/>
        </w:rPr>
        <w:t xml:space="preserve"> and</w:t>
      </w:r>
      <w:r w:rsidR="00D93735">
        <w:rPr>
          <w:rFonts w:cs="Calibri"/>
        </w:rPr>
        <w:t xml:space="preserve"> the </w:t>
      </w:r>
      <w:r w:rsidR="00BE0D7B">
        <w:rPr>
          <w:rFonts w:cs="Calibri"/>
        </w:rPr>
        <w:t xml:space="preserve">report is destroyed. In either </w:t>
      </w:r>
      <w:r w:rsidR="003971E2">
        <w:rPr>
          <w:rFonts w:cs="Calibri"/>
        </w:rPr>
        <w:t>instance,</w:t>
      </w:r>
      <w:r w:rsidR="00BE0D7B">
        <w:rPr>
          <w:rFonts w:cs="Calibri"/>
        </w:rPr>
        <w:t xml:space="preserve"> the reporting employee’s confidentiality is maintained.</w:t>
      </w:r>
    </w:p>
    <w:p w:rsidR="00D93735" w:rsidRDefault="00D93735" w:rsidP="000850EF">
      <w:pPr>
        <w:spacing w:after="360"/>
        <w:rPr>
          <w:rFonts w:cs="Calibri"/>
        </w:rPr>
      </w:pPr>
      <w:r w:rsidRPr="00DB6FFF">
        <w:rPr>
          <w:rFonts w:cs="Calibri"/>
        </w:rPr>
        <w:t xml:space="preserve">Reporting employees receive a receipt </w:t>
      </w:r>
      <w:r>
        <w:rPr>
          <w:rFonts w:cs="Calibri"/>
        </w:rPr>
        <w:t xml:space="preserve">once the third-party agency has approved the report as being within the scope of the system as documented in the implementing MOU. This receipt </w:t>
      </w:r>
      <w:r w:rsidRPr="00DB6FFF">
        <w:rPr>
          <w:rFonts w:cs="Calibri"/>
        </w:rPr>
        <w:t>provides documentation of the</w:t>
      </w:r>
      <w:r>
        <w:rPr>
          <w:rFonts w:cs="Calibri"/>
        </w:rPr>
        <w:t xml:space="preserve"> reporting employee’s protection</w:t>
      </w:r>
      <w:r w:rsidRPr="00DB6FFF">
        <w:rPr>
          <w:rFonts w:cs="Calibri"/>
        </w:rPr>
        <w:t xml:space="preserve"> from discipline</w:t>
      </w:r>
      <w:r>
        <w:rPr>
          <w:rFonts w:cs="Calibri"/>
        </w:rPr>
        <w:t xml:space="preserve"> from the RTA.</w:t>
      </w:r>
    </w:p>
    <w:p w:rsidR="0049632C" w:rsidRPr="00DB6FFF" w:rsidRDefault="00D93735" w:rsidP="000850EF">
      <w:pPr>
        <w:spacing w:after="360"/>
        <w:rPr>
          <w:rFonts w:cs="Calibri"/>
        </w:rPr>
      </w:pPr>
      <w:r>
        <w:rPr>
          <w:rFonts w:cs="Calibri"/>
        </w:rPr>
        <w:t>For all qualifying reports, s</w:t>
      </w:r>
      <w:r w:rsidR="0044707A" w:rsidRPr="00DB6FFF">
        <w:rPr>
          <w:rFonts w:cs="Calibri"/>
        </w:rPr>
        <w:t>ubject</w:t>
      </w:r>
      <w:r w:rsidR="00F11A72">
        <w:rPr>
          <w:rFonts w:cs="Calibri"/>
        </w:rPr>
        <w:t>-</w:t>
      </w:r>
      <w:r w:rsidR="0044707A" w:rsidRPr="00DB6FFF">
        <w:rPr>
          <w:rFonts w:cs="Calibri"/>
        </w:rPr>
        <w:t xml:space="preserve">matter experts at </w:t>
      </w:r>
      <w:r w:rsidR="00050741" w:rsidRPr="00DB6FFF">
        <w:rPr>
          <w:rFonts w:cs="Calibri"/>
        </w:rPr>
        <w:t xml:space="preserve">the </w:t>
      </w:r>
      <w:r w:rsidR="0044707A" w:rsidRPr="00DB6FFF">
        <w:rPr>
          <w:rFonts w:cs="Calibri"/>
        </w:rPr>
        <w:t xml:space="preserve">third-party agency </w:t>
      </w:r>
      <w:r w:rsidR="00A61807">
        <w:rPr>
          <w:rFonts w:cs="Calibri"/>
        </w:rPr>
        <w:t>conduct</w:t>
      </w:r>
      <w:r>
        <w:rPr>
          <w:rFonts w:cs="Calibri"/>
        </w:rPr>
        <w:t xml:space="preserve"> follow-up interviews</w:t>
      </w:r>
      <w:r w:rsidR="00A61807" w:rsidRPr="00DB6FFF">
        <w:rPr>
          <w:rFonts w:cs="Calibri"/>
        </w:rPr>
        <w:t xml:space="preserve"> to gather more information</w:t>
      </w:r>
      <w:r>
        <w:rPr>
          <w:rFonts w:cs="Calibri"/>
        </w:rPr>
        <w:t xml:space="preserve"> about reported events</w:t>
      </w:r>
      <w:r w:rsidR="00A61807">
        <w:rPr>
          <w:rFonts w:cs="Calibri"/>
        </w:rPr>
        <w:t>,</w:t>
      </w:r>
      <w:r w:rsidR="00A61807" w:rsidRPr="00DB6FFF">
        <w:rPr>
          <w:rFonts w:cs="Calibri"/>
        </w:rPr>
        <w:t xml:space="preserve"> </w:t>
      </w:r>
      <w:r w:rsidR="00434EA4" w:rsidRPr="00DB6FFF">
        <w:rPr>
          <w:rFonts w:cs="Calibri"/>
        </w:rPr>
        <w:t xml:space="preserve">synthesize </w:t>
      </w:r>
      <w:r w:rsidR="0044707A" w:rsidRPr="00DB6FFF">
        <w:rPr>
          <w:rFonts w:cs="Calibri"/>
        </w:rPr>
        <w:t>all available information</w:t>
      </w:r>
      <w:r w:rsidR="00A166EA">
        <w:rPr>
          <w:rFonts w:cs="Calibri"/>
        </w:rPr>
        <w:t>,</w:t>
      </w:r>
      <w:r w:rsidR="0044707A" w:rsidRPr="00DB6FFF">
        <w:rPr>
          <w:rFonts w:cs="Calibri"/>
        </w:rPr>
        <w:t xml:space="preserve"> and send </w:t>
      </w:r>
      <w:r>
        <w:rPr>
          <w:rFonts w:cs="Calibri"/>
        </w:rPr>
        <w:t>event</w:t>
      </w:r>
      <w:r w:rsidRPr="00DB6FFF">
        <w:rPr>
          <w:rFonts w:cs="Calibri"/>
        </w:rPr>
        <w:t xml:space="preserve"> </w:t>
      </w:r>
      <w:r w:rsidR="0044707A" w:rsidRPr="00DB6FFF">
        <w:rPr>
          <w:rFonts w:cs="Calibri"/>
        </w:rPr>
        <w:t xml:space="preserve">reports to </w:t>
      </w:r>
      <w:r w:rsidR="002A2330" w:rsidRPr="00DB6FFF">
        <w:rPr>
          <w:rFonts w:cs="Calibri"/>
        </w:rPr>
        <w:t xml:space="preserve">the </w:t>
      </w:r>
      <w:r w:rsidR="0044707A" w:rsidRPr="00DB6FFF">
        <w:rPr>
          <w:rFonts w:cs="Calibri"/>
        </w:rPr>
        <w:t>PRT for review</w:t>
      </w:r>
      <w:r w:rsidR="002A2330" w:rsidRPr="00DB6FFF">
        <w:rPr>
          <w:rFonts w:cs="Calibri"/>
        </w:rPr>
        <w:t>,</w:t>
      </w:r>
      <w:r w:rsidR="0044707A" w:rsidRPr="00DB6FFF">
        <w:rPr>
          <w:rFonts w:cs="Calibri"/>
        </w:rPr>
        <w:t xml:space="preserve"> with </w:t>
      </w:r>
      <w:r w:rsidR="001A6FD3" w:rsidRPr="00DB6FFF">
        <w:rPr>
          <w:rFonts w:cs="Calibri"/>
        </w:rPr>
        <w:t>PII</w:t>
      </w:r>
      <w:r w:rsidR="0044707A" w:rsidRPr="00DB6FFF">
        <w:rPr>
          <w:rFonts w:cs="Calibri"/>
        </w:rPr>
        <w:t xml:space="preserve"> removed. </w:t>
      </w:r>
    </w:p>
    <w:p w:rsidR="008E60F8" w:rsidRDefault="00D00639" w:rsidP="000850EF">
      <w:pPr>
        <w:spacing w:after="360"/>
        <w:rPr>
          <w:rFonts w:cs="Calibri"/>
        </w:rPr>
      </w:pPr>
      <w:r>
        <w:rPr>
          <w:rFonts w:cs="Calibri"/>
          <w:noProof/>
          <w:u w:val="single"/>
        </w:rPr>
        <w:drawing>
          <wp:anchor distT="0" distB="0" distL="114300" distR="114300" simplePos="0" relativeHeight="251658240" behindDoc="0" locked="0" layoutInCell="1" allowOverlap="1" wp14:anchorId="52DA12A8" wp14:editId="130A9B23">
            <wp:simplePos x="0" y="0"/>
            <wp:positionH relativeFrom="column">
              <wp:posOffset>0</wp:posOffset>
            </wp:positionH>
            <wp:positionV relativeFrom="paragraph">
              <wp:posOffset>3810</wp:posOffset>
            </wp:positionV>
            <wp:extent cx="1694815" cy="585470"/>
            <wp:effectExtent l="0" t="0" r="635" b="508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4815" cy="585470"/>
                    </a:xfrm>
                    <a:prstGeom prst="rect">
                      <a:avLst/>
                    </a:prstGeom>
                    <a:noFill/>
                    <a:ln>
                      <a:noFill/>
                    </a:ln>
                  </pic:spPr>
                </pic:pic>
              </a:graphicData>
            </a:graphic>
          </wp:anchor>
        </w:drawing>
      </w:r>
      <w:r w:rsidR="00DB3FEF">
        <w:rPr>
          <w:rFonts w:cs="Calibri"/>
        </w:rPr>
        <w:t>Each pilot site forms a PRT</w:t>
      </w:r>
      <w:r w:rsidR="0044707A" w:rsidRPr="00DB6FFF">
        <w:rPr>
          <w:rFonts w:cs="Calibri"/>
        </w:rPr>
        <w:t xml:space="preserve"> consisting of </w:t>
      </w:r>
      <w:r w:rsidR="00DB3FEF">
        <w:rPr>
          <w:rFonts w:cs="Calibri"/>
        </w:rPr>
        <w:t xml:space="preserve">RTA </w:t>
      </w:r>
      <w:r w:rsidR="0044707A" w:rsidRPr="00DB6FFF">
        <w:rPr>
          <w:rFonts w:cs="Calibri"/>
        </w:rPr>
        <w:t xml:space="preserve">management, labor, </w:t>
      </w:r>
      <w:r w:rsidR="001A6FD3" w:rsidRPr="00DB6FFF">
        <w:rPr>
          <w:rFonts w:cs="Calibri"/>
        </w:rPr>
        <w:t>FTA</w:t>
      </w:r>
      <w:r w:rsidR="00530039">
        <w:rPr>
          <w:rFonts w:cs="Calibri"/>
        </w:rPr>
        <w:t>,</w:t>
      </w:r>
      <w:r w:rsidR="002A2330" w:rsidRPr="00DB6FFF">
        <w:rPr>
          <w:rFonts w:cs="Calibri"/>
        </w:rPr>
        <w:t xml:space="preserve"> and</w:t>
      </w:r>
      <w:r w:rsidR="00530039">
        <w:rPr>
          <w:rFonts w:cs="Calibri"/>
        </w:rPr>
        <w:t>,</w:t>
      </w:r>
      <w:r w:rsidR="002A2330" w:rsidRPr="00DB6FFF">
        <w:rPr>
          <w:rFonts w:cs="Calibri"/>
        </w:rPr>
        <w:t xml:space="preserve"> </w:t>
      </w:r>
      <w:r w:rsidR="00E90006" w:rsidRPr="00DB6FFF">
        <w:rPr>
          <w:rFonts w:cs="Calibri"/>
        </w:rPr>
        <w:t>in some cases</w:t>
      </w:r>
      <w:r w:rsidR="00530039">
        <w:rPr>
          <w:rFonts w:cs="Calibri"/>
        </w:rPr>
        <w:t>,</w:t>
      </w:r>
      <w:r w:rsidR="002A2330" w:rsidRPr="00DB6FFF">
        <w:rPr>
          <w:rFonts w:cs="Calibri"/>
        </w:rPr>
        <w:t xml:space="preserve"> SSO </w:t>
      </w:r>
      <w:r w:rsidR="00DB3FEF">
        <w:rPr>
          <w:rFonts w:cs="Calibri"/>
        </w:rPr>
        <w:t xml:space="preserve">stakeholders, which </w:t>
      </w:r>
      <w:r w:rsidR="0044707A" w:rsidRPr="00DB6FFF">
        <w:rPr>
          <w:rFonts w:cs="Calibri"/>
        </w:rPr>
        <w:t>review</w:t>
      </w:r>
      <w:r w:rsidR="00DB3FEF">
        <w:rPr>
          <w:rFonts w:cs="Calibri"/>
        </w:rPr>
        <w:t>s</w:t>
      </w:r>
      <w:r w:rsidR="0044707A" w:rsidRPr="00DB6FFF">
        <w:rPr>
          <w:rFonts w:cs="Calibri"/>
        </w:rPr>
        <w:t xml:space="preserve"> each </w:t>
      </w:r>
      <w:r w:rsidR="00D93735">
        <w:rPr>
          <w:rFonts w:cs="Calibri"/>
        </w:rPr>
        <w:t>event</w:t>
      </w:r>
      <w:r w:rsidR="0019646A">
        <w:rPr>
          <w:rFonts w:cs="Calibri"/>
        </w:rPr>
        <w:t xml:space="preserve"> </w:t>
      </w:r>
      <w:r w:rsidR="0044707A" w:rsidRPr="00DB6FFF">
        <w:rPr>
          <w:rFonts w:cs="Calibri"/>
        </w:rPr>
        <w:t xml:space="preserve">report </w:t>
      </w:r>
      <w:r w:rsidR="006F583A" w:rsidRPr="00DB6FFF">
        <w:rPr>
          <w:rFonts w:cs="Calibri"/>
        </w:rPr>
        <w:t xml:space="preserve">forwarded </w:t>
      </w:r>
      <w:r w:rsidR="0044707A" w:rsidRPr="00DB6FFF">
        <w:rPr>
          <w:rFonts w:cs="Calibri"/>
        </w:rPr>
        <w:t xml:space="preserve">by </w:t>
      </w:r>
      <w:r w:rsidR="006F583A" w:rsidRPr="00DB6FFF">
        <w:rPr>
          <w:rFonts w:cs="Calibri"/>
        </w:rPr>
        <w:t xml:space="preserve">the </w:t>
      </w:r>
      <w:r w:rsidR="0044707A" w:rsidRPr="00DB6FFF">
        <w:rPr>
          <w:rFonts w:cs="Calibri"/>
        </w:rPr>
        <w:t xml:space="preserve">third-party agency. </w:t>
      </w:r>
      <w:r w:rsidR="00D93735">
        <w:rPr>
          <w:rFonts w:cs="Calibri"/>
        </w:rPr>
        <w:t>PRT members receive thorough training in event root-cause analysis</w:t>
      </w:r>
      <w:r w:rsidR="008E60F8">
        <w:rPr>
          <w:rFonts w:cs="Calibri"/>
        </w:rPr>
        <w:t xml:space="preserve"> before joining the PRT. </w:t>
      </w:r>
      <w:r w:rsidR="00851FF8">
        <w:rPr>
          <w:rFonts w:cs="Calibri"/>
        </w:rPr>
        <w:t xml:space="preserve">PRTs </w:t>
      </w:r>
      <w:r w:rsidR="00613FE4">
        <w:rPr>
          <w:rFonts w:cs="Calibri"/>
        </w:rPr>
        <w:t xml:space="preserve">can </w:t>
      </w:r>
      <w:r w:rsidR="00851FF8">
        <w:rPr>
          <w:rFonts w:cs="Calibri"/>
        </w:rPr>
        <w:t xml:space="preserve">prioritize </w:t>
      </w:r>
      <w:r w:rsidR="00D93735">
        <w:rPr>
          <w:rFonts w:cs="Calibri"/>
        </w:rPr>
        <w:t xml:space="preserve">event </w:t>
      </w:r>
      <w:r w:rsidR="00851FF8">
        <w:rPr>
          <w:rFonts w:cs="Calibri"/>
        </w:rPr>
        <w:t xml:space="preserve">reports by severity </w:t>
      </w:r>
      <w:r w:rsidR="00613FE4">
        <w:rPr>
          <w:rFonts w:cs="Calibri"/>
        </w:rPr>
        <w:t xml:space="preserve">and/or frequency of occurrence </w:t>
      </w:r>
      <w:r w:rsidR="00851FF8">
        <w:rPr>
          <w:rFonts w:cs="Calibri"/>
        </w:rPr>
        <w:t xml:space="preserve">of the perceived safety threat, addressing the most urgent issues first. </w:t>
      </w:r>
      <w:r w:rsidR="00D93735">
        <w:rPr>
          <w:rFonts w:cs="Calibri"/>
        </w:rPr>
        <w:t>For each event report, t</w:t>
      </w:r>
      <w:r w:rsidR="002A2330" w:rsidRPr="00DB6FFF">
        <w:rPr>
          <w:rFonts w:cs="Calibri"/>
        </w:rPr>
        <w:t xml:space="preserve">he </w:t>
      </w:r>
      <w:r w:rsidR="0044707A" w:rsidRPr="00DB6FFF">
        <w:rPr>
          <w:rFonts w:cs="Calibri"/>
        </w:rPr>
        <w:t xml:space="preserve">PRT performs a </w:t>
      </w:r>
      <w:r w:rsidR="00613FE4">
        <w:rPr>
          <w:rFonts w:cs="Calibri"/>
        </w:rPr>
        <w:t>systematic</w:t>
      </w:r>
      <w:r w:rsidR="0044707A" w:rsidRPr="00DB6FFF">
        <w:rPr>
          <w:rFonts w:cs="Calibri"/>
        </w:rPr>
        <w:t xml:space="preserve"> analysis and makes recommendations for corrective action to a higher-level </w:t>
      </w:r>
      <w:r w:rsidR="0019646A">
        <w:rPr>
          <w:rFonts w:cs="Calibri"/>
        </w:rPr>
        <w:t xml:space="preserve">RTA </w:t>
      </w:r>
      <w:r w:rsidR="0044707A" w:rsidRPr="00DB6FFF">
        <w:rPr>
          <w:rFonts w:cs="Calibri"/>
        </w:rPr>
        <w:t>management support team</w:t>
      </w:r>
      <w:r w:rsidR="002A2330" w:rsidRPr="00DB6FFF">
        <w:rPr>
          <w:rFonts w:cs="Calibri"/>
        </w:rPr>
        <w:t xml:space="preserve">, </w:t>
      </w:r>
      <w:r w:rsidR="00B501CD" w:rsidRPr="00DB6FFF">
        <w:rPr>
          <w:rFonts w:cs="Calibri"/>
        </w:rPr>
        <w:t xml:space="preserve">or less commonly to the FTA or </w:t>
      </w:r>
      <w:r w:rsidR="002A2330" w:rsidRPr="00DB6FFF">
        <w:rPr>
          <w:rFonts w:cs="Calibri"/>
        </w:rPr>
        <w:t>SSO</w:t>
      </w:r>
      <w:r w:rsidR="00AC1217">
        <w:rPr>
          <w:rFonts w:cs="Calibri"/>
        </w:rPr>
        <w:t>, as appropriate</w:t>
      </w:r>
      <w:r w:rsidR="0044707A" w:rsidRPr="00DB6FFF">
        <w:rPr>
          <w:rFonts w:cs="Calibri"/>
        </w:rPr>
        <w:t xml:space="preserve">. </w:t>
      </w:r>
    </w:p>
    <w:p w:rsidR="005C12A5" w:rsidRDefault="005C12A5" w:rsidP="000850EF">
      <w:pPr>
        <w:spacing w:after="360"/>
        <w:rPr>
          <w:rFonts w:cs="Calibri"/>
        </w:rPr>
      </w:pPr>
    </w:p>
    <w:p w:rsidR="005C12A5" w:rsidRDefault="005C12A5" w:rsidP="000850EF">
      <w:pPr>
        <w:spacing w:after="360"/>
        <w:rPr>
          <w:rFonts w:cs="Calibri"/>
        </w:rPr>
      </w:pPr>
    </w:p>
    <w:p w:rsidR="00061061" w:rsidRPr="00DB6FFF" w:rsidRDefault="00D00639" w:rsidP="000D6BB4">
      <w:pPr>
        <w:tabs>
          <w:tab w:val="left" w:pos="2610"/>
        </w:tabs>
        <w:rPr>
          <w:rFonts w:cs="Calibri"/>
        </w:rPr>
      </w:pPr>
      <w:r>
        <w:rPr>
          <w:rFonts w:cs="Calibri"/>
          <w:noProof/>
        </w:rPr>
        <w:lastRenderedPageBreak/>
        <w:drawing>
          <wp:anchor distT="0" distB="0" distL="114300" distR="114300" simplePos="0" relativeHeight="251659264" behindDoc="0" locked="0" layoutInCell="1" allowOverlap="1" wp14:anchorId="18EE5AF8" wp14:editId="0B2499FD">
            <wp:simplePos x="0" y="0"/>
            <wp:positionH relativeFrom="column">
              <wp:posOffset>0</wp:posOffset>
            </wp:positionH>
            <wp:positionV relativeFrom="paragraph">
              <wp:posOffset>2540</wp:posOffset>
            </wp:positionV>
            <wp:extent cx="1694815" cy="585470"/>
            <wp:effectExtent l="0" t="0" r="635" b="508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94815" cy="585470"/>
                    </a:xfrm>
                    <a:prstGeom prst="rect">
                      <a:avLst/>
                    </a:prstGeom>
                    <a:noFill/>
                    <a:ln>
                      <a:noFill/>
                    </a:ln>
                  </pic:spPr>
                </pic:pic>
              </a:graphicData>
            </a:graphic>
          </wp:anchor>
        </w:drawing>
      </w:r>
      <w:r w:rsidR="00B501CD" w:rsidRPr="00DB6FFF">
        <w:rPr>
          <w:rFonts w:cs="Calibri"/>
        </w:rPr>
        <w:t xml:space="preserve">A high-level </w:t>
      </w:r>
      <w:r w:rsidR="0019646A">
        <w:rPr>
          <w:rFonts w:cs="Calibri"/>
        </w:rPr>
        <w:t xml:space="preserve">RTA </w:t>
      </w:r>
      <w:r w:rsidR="00B501CD" w:rsidRPr="00DB6FFF">
        <w:rPr>
          <w:rFonts w:cs="Calibri"/>
        </w:rPr>
        <w:t>m</w:t>
      </w:r>
      <w:r w:rsidR="0044707A" w:rsidRPr="00DB6FFF">
        <w:rPr>
          <w:rFonts w:cs="Calibri"/>
        </w:rPr>
        <w:t>anagement support team evaluates corr</w:t>
      </w:r>
      <w:r w:rsidR="00DB3FEF">
        <w:rPr>
          <w:rFonts w:cs="Calibri"/>
        </w:rPr>
        <w:t xml:space="preserve">ective action recommendations </w:t>
      </w:r>
      <w:r w:rsidR="0044707A" w:rsidRPr="00DB6FFF">
        <w:rPr>
          <w:rFonts w:cs="Calibri"/>
        </w:rPr>
        <w:t xml:space="preserve">and determines agency response. </w:t>
      </w:r>
      <w:r w:rsidR="00B501CD" w:rsidRPr="00DB6FFF">
        <w:rPr>
          <w:rFonts w:cs="Calibri"/>
        </w:rPr>
        <w:t>The FTA or SSO could also implement corrective action</w:t>
      </w:r>
      <w:r w:rsidR="00F11A72">
        <w:rPr>
          <w:rFonts w:cs="Calibri"/>
        </w:rPr>
        <w:t>s</w:t>
      </w:r>
      <w:r w:rsidR="00B501CD" w:rsidRPr="00DB6FFF">
        <w:rPr>
          <w:rFonts w:cs="Calibri"/>
        </w:rPr>
        <w:t xml:space="preserve"> in some cases.</w:t>
      </w:r>
      <w:r w:rsidR="00DB3FEF">
        <w:rPr>
          <w:rFonts w:cs="Calibri"/>
        </w:rPr>
        <w:t xml:space="preserve"> Any action taken as a result of a close call report is shared with all PRT members. In turn, the PRT </w:t>
      </w:r>
      <w:r w:rsidR="008E60F8">
        <w:rPr>
          <w:rFonts w:cs="Calibri"/>
        </w:rPr>
        <w:t>share</w:t>
      </w:r>
      <w:r w:rsidR="00DB3FEF">
        <w:rPr>
          <w:rFonts w:cs="Calibri"/>
        </w:rPr>
        <w:t xml:space="preserve">s these </w:t>
      </w:r>
      <w:r w:rsidR="008E60F8">
        <w:rPr>
          <w:rFonts w:cs="Calibri"/>
        </w:rPr>
        <w:t>actions with the third-party agency to facilitate tracking, analysis</w:t>
      </w:r>
      <w:r w:rsidR="00F11A72">
        <w:rPr>
          <w:rFonts w:cs="Calibri"/>
        </w:rPr>
        <w:t>,</w:t>
      </w:r>
      <w:r w:rsidR="008E60F8">
        <w:rPr>
          <w:rFonts w:cs="Calibri"/>
        </w:rPr>
        <w:t xml:space="preserve"> and reporting of industry-wide trends and best practices.</w:t>
      </w:r>
    </w:p>
    <w:p w:rsidR="0008366E" w:rsidRDefault="0008366E" w:rsidP="000D6BB4">
      <w:pPr>
        <w:spacing w:after="360"/>
        <w:rPr>
          <w:rFonts w:cs="Calibri"/>
        </w:rPr>
      </w:pPr>
    </w:p>
    <w:p w:rsidR="000D6BB4" w:rsidRPr="00DB6FFF" w:rsidRDefault="00D00639" w:rsidP="000D6BB4">
      <w:pPr>
        <w:spacing w:after="360"/>
        <w:rPr>
          <w:rFonts w:cs="Calibri"/>
        </w:rPr>
      </w:pPr>
      <w:r>
        <w:rPr>
          <w:rFonts w:cs="Calibri"/>
          <w:noProof/>
        </w:rPr>
        <w:drawing>
          <wp:anchor distT="0" distB="0" distL="114300" distR="114300" simplePos="0" relativeHeight="251660288" behindDoc="0" locked="0" layoutInCell="1" allowOverlap="1" wp14:anchorId="163433BD" wp14:editId="6BB18F4E">
            <wp:simplePos x="0" y="0"/>
            <wp:positionH relativeFrom="margin">
              <wp:posOffset>-6985</wp:posOffset>
            </wp:positionH>
            <wp:positionV relativeFrom="margin">
              <wp:posOffset>1729740</wp:posOffset>
            </wp:positionV>
            <wp:extent cx="1694815" cy="591820"/>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4815" cy="591820"/>
                    </a:xfrm>
                    <a:prstGeom prst="rect">
                      <a:avLst/>
                    </a:prstGeom>
                    <a:noFill/>
                  </pic:spPr>
                </pic:pic>
              </a:graphicData>
            </a:graphic>
          </wp:anchor>
        </w:drawing>
      </w:r>
      <w:r w:rsidR="000D6BB4" w:rsidRPr="00DB6FFF">
        <w:rPr>
          <w:rFonts w:cs="Calibri"/>
        </w:rPr>
        <w:t xml:space="preserve">PRTs provide feedback </w:t>
      </w:r>
      <w:r w:rsidR="000D6BB4">
        <w:rPr>
          <w:rFonts w:cs="Calibri"/>
        </w:rPr>
        <w:t xml:space="preserve">to the third-party agency describing the nature of the problem and recommendations </w:t>
      </w:r>
      <w:r w:rsidR="00F11A72">
        <w:rPr>
          <w:rFonts w:cs="Calibri"/>
        </w:rPr>
        <w:t>for</w:t>
      </w:r>
      <w:r w:rsidR="000D6BB4">
        <w:rPr>
          <w:rFonts w:cs="Calibri"/>
        </w:rPr>
        <w:t xml:space="preserve"> resolv</w:t>
      </w:r>
      <w:r w:rsidR="00F11A72">
        <w:rPr>
          <w:rFonts w:cs="Calibri"/>
        </w:rPr>
        <w:t>ing</w:t>
      </w:r>
      <w:r w:rsidR="000D6BB4">
        <w:rPr>
          <w:rFonts w:cs="Calibri"/>
        </w:rPr>
        <w:t xml:space="preserve"> the reported events.</w:t>
      </w:r>
      <w:r w:rsidR="000D6BB4" w:rsidRPr="00DB6FFF">
        <w:rPr>
          <w:rFonts w:cs="Calibri"/>
        </w:rPr>
        <w:t xml:space="preserve"> PRT responses </w:t>
      </w:r>
      <w:r w:rsidR="000D6BB4">
        <w:rPr>
          <w:rFonts w:cs="Calibri"/>
        </w:rPr>
        <w:t>are tracked</w:t>
      </w:r>
      <w:r w:rsidR="000D6BB4" w:rsidRPr="00DB6FFF">
        <w:rPr>
          <w:rFonts w:cs="Calibri"/>
        </w:rPr>
        <w:t xml:space="preserve"> and reported to FTA and </w:t>
      </w:r>
      <w:r w:rsidR="000D6BB4">
        <w:rPr>
          <w:rFonts w:cs="Calibri"/>
        </w:rPr>
        <w:t xml:space="preserve">the applicable </w:t>
      </w:r>
      <w:r w:rsidR="000D6BB4" w:rsidRPr="00DB6FFF">
        <w:rPr>
          <w:rFonts w:cs="Calibri"/>
        </w:rPr>
        <w:t xml:space="preserve">SSO. </w:t>
      </w:r>
      <w:r w:rsidR="000D6BB4">
        <w:rPr>
          <w:rFonts w:cs="Calibri"/>
        </w:rPr>
        <w:t xml:space="preserve">All reports and corrective actions are kept confidential, but </w:t>
      </w:r>
      <w:r w:rsidR="000D6BB4" w:rsidRPr="00DB6FFF">
        <w:rPr>
          <w:rFonts w:cs="Calibri"/>
        </w:rPr>
        <w:t xml:space="preserve">FTA shares </w:t>
      </w:r>
      <w:r w:rsidR="000D6BB4">
        <w:rPr>
          <w:rFonts w:cs="Calibri"/>
        </w:rPr>
        <w:t xml:space="preserve">aggregated </w:t>
      </w:r>
      <w:r w:rsidR="000D6BB4" w:rsidRPr="00DB6FFF">
        <w:rPr>
          <w:rFonts w:cs="Calibri"/>
        </w:rPr>
        <w:t>trends, lessons-learned</w:t>
      </w:r>
      <w:r w:rsidR="00F11A72">
        <w:rPr>
          <w:rFonts w:cs="Calibri"/>
        </w:rPr>
        <w:t>,</w:t>
      </w:r>
      <w:r w:rsidR="000D6BB4" w:rsidRPr="00DB6FFF">
        <w:rPr>
          <w:rFonts w:cs="Calibri"/>
        </w:rPr>
        <w:t xml:space="preserve"> and best practices among all industry RTAs and SSOs.</w:t>
      </w:r>
      <w:r w:rsidR="00873819">
        <w:rPr>
          <w:rFonts w:cs="Calibri"/>
        </w:rPr>
        <w:t xml:space="preserve"> The third-party agency and RTA widely publicize all actions taken as a result of a close call report.</w:t>
      </w:r>
      <w:r w:rsidR="00873819" w:rsidRPr="00DB6FFF">
        <w:rPr>
          <w:rFonts w:cs="Calibri"/>
        </w:rPr>
        <w:t xml:space="preserve"> </w:t>
      </w:r>
    </w:p>
    <w:p w:rsidR="00061061" w:rsidRPr="00DB6FFF" w:rsidRDefault="00061061" w:rsidP="00061061">
      <w:pPr>
        <w:pStyle w:val="Heading3"/>
        <w:rPr>
          <w:rFonts w:ascii="Calibri" w:hAnsi="Calibri" w:cs="Calibri"/>
        </w:rPr>
      </w:pPr>
      <w:bookmarkStart w:id="46" w:name="_Toc316336505"/>
      <w:bookmarkStart w:id="47" w:name="_Toc317097308"/>
      <w:bookmarkStart w:id="48" w:name="_Toc317106150"/>
      <w:r w:rsidRPr="00DB6FFF">
        <w:rPr>
          <w:rFonts w:ascii="Calibri" w:hAnsi="Calibri" w:cs="Calibri"/>
        </w:rPr>
        <w:t>Funding</w:t>
      </w:r>
      <w:bookmarkEnd w:id="46"/>
      <w:bookmarkEnd w:id="47"/>
      <w:bookmarkEnd w:id="48"/>
    </w:p>
    <w:p w:rsidR="000850EF" w:rsidRDefault="006C6136" w:rsidP="00CD4A5F">
      <w:pPr>
        <w:rPr>
          <w:rFonts w:cs="Calibri"/>
        </w:rPr>
        <w:sectPr w:rsidR="000850EF" w:rsidSect="000850EF">
          <w:footerReference w:type="even" r:id="rId27"/>
          <w:footerReference w:type="default" r:id="rId28"/>
          <w:endnotePr>
            <w:numFmt w:val="decimal"/>
            <w:numRestart w:val="eachSect"/>
          </w:endnotePr>
          <w:pgSz w:w="12240" w:h="15840"/>
          <w:pgMar w:top="1440" w:right="1800" w:bottom="1440" w:left="1800" w:header="720" w:footer="720" w:gutter="0"/>
          <w:cols w:space="720"/>
          <w:docGrid w:linePitch="360"/>
        </w:sectPr>
      </w:pPr>
      <w:r>
        <w:rPr>
          <w:rFonts w:cs="Calibri"/>
        </w:rPr>
        <w:t>Ideally, f</w:t>
      </w:r>
      <w:r w:rsidR="00061061" w:rsidRPr="00DB6FFF">
        <w:rPr>
          <w:rFonts w:cs="Calibri"/>
        </w:rPr>
        <w:t>unding for establish</w:t>
      </w:r>
      <w:r w:rsidR="00F11A72">
        <w:rPr>
          <w:rFonts w:cs="Calibri"/>
        </w:rPr>
        <w:t>ing</w:t>
      </w:r>
      <w:r w:rsidR="00061061" w:rsidRPr="00DB6FFF">
        <w:rPr>
          <w:rFonts w:cs="Calibri"/>
        </w:rPr>
        <w:t xml:space="preserve"> and </w:t>
      </w:r>
      <w:r w:rsidR="00F11A72">
        <w:rPr>
          <w:rFonts w:cs="Calibri"/>
        </w:rPr>
        <w:t>operating</w:t>
      </w:r>
      <w:r w:rsidR="00061061" w:rsidRPr="00DB6FFF">
        <w:rPr>
          <w:rFonts w:cs="Calibri"/>
        </w:rPr>
        <w:t xml:space="preserve"> a third-party agency should be provided by FTA. It is expected that rail transit agencies would provide </w:t>
      </w:r>
      <w:r w:rsidR="00E04304">
        <w:rPr>
          <w:rFonts w:cs="Calibri"/>
        </w:rPr>
        <w:t xml:space="preserve">personnel </w:t>
      </w:r>
      <w:r w:rsidR="00E04304" w:rsidRPr="00DB6FFF">
        <w:rPr>
          <w:rFonts w:cs="Calibri"/>
        </w:rPr>
        <w:t>time</w:t>
      </w:r>
      <w:r w:rsidR="00061061" w:rsidRPr="00DB6FFF">
        <w:rPr>
          <w:rFonts w:cs="Calibri"/>
        </w:rPr>
        <w:t>, facilities</w:t>
      </w:r>
      <w:r w:rsidR="00F11A72">
        <w:rPr>
          <w:rFonts w:cs="Calibri"/>
        </w:rPr>
        <w:t>,</w:t>
      </w:r>
      <w:r w:rsidR="00061061" w:rsidRPr="00DB6FFF">
        <w:rPr>
          <w:rFonts w:cs="Calibri"/>
        </w:rPr>
        <w:t xml:space="preserve"> and materials for establish</w:t>
      </w:r>
      <w:r w:rsidR="00A040F8">
        <w:rPr>
          <w:rFonts w:cs="Calibri"/>
        </w:rPr>
        <w:t>ing</w:t>
      </w:r>
      <w:r w:rsidR="00061061" w:rsidRPr="00DB6FFF">
        <w:rPr>
          <w:rFonts w:cs="Calibri"/>
        </w:rPr>
        <w:t xml:space="preserve"> and operati</w:t>
      </w:r>
      <w:r w:rsidR="00A040F8">
        <w:rPr>
          <w:rFonts w:cs="Calibri"/>
        </w:rPr>
        <w:t>ng</w:t>
      </w:r>
      <w:r w:rsidR="00061061" w:rsidRPr="00DB6FFF">
        <w:rPr>
          <w:rFonts w:cs="Calibri"/>
        </w:rPr>
        <w:t xml:space="preserve"> the PRTs.</w:t>
      </w:r>
      <w:r w:rsidR="007277EC">
        <w:rPr>
          <w:rFonts w:cs="Calibri"/>
        </w:rPr>
        <w:t xml:space="preserve"> </w:t>
      </w:r>
      <w:r w:rsidR="00253CAD">
        <w:rPr>
          <w:rFonts w:cs="Calibri"/>
        </w:rPr>
        <w:t>It is also expected that RTAs participating in the pilot program will dedicate funding to implement the corrective actions recommended by the PRTs</w:t>
      </w:r>
      <w:r w:rsidR="007277EC">
        <w:rPr>
          <w:rFonts w:cs="Calibri"/>
        </w:rPr>
        <w:t>.</w:t>
      </w:r>
      <w:bookmarkStart w:id="49" w:name="_Toc292721530"/>
      <w:bookmarkStart w:id="50" w:name="_Toc316336506"/>
      <w:bookmarkEnd w:id="26"/>
      <w:bookmarkEnd w:id="27"/>
    </w:p>
    <w:p w:rsidR="00A772A8" w:rsidRPr="00DB6FFF" w:rsidRDefault="004B0A45">
      <w:pPr>
        <w:pStyle w:val="Heading1"/>
        <w:rPr>
          <w:rFonts w:ascii="Calibri" w:hAnsi="Calibri" w:cs="Calibri"/>
        </w:rPr>
      </w:pPr>
      <w:bookmarkStart w:id="51" w:name="_Toc317106151"/>
      <w:r w:rsidRPr="00DB6FFF">
        <w:rPr>
          <w:rFonts w:ascii="Calibri" w:hAnsi="Calibri" w:cs="Calibri"/>
        </w:rPr>
        <w:lastRenderedPageBreak/>
        <w:t>Special C</w:t>
      </w:r>
      <w:r w:rsidR="00A772A8" w:rsidRPr="00DB6FFF">
        <w:rPr>
          <w:rFonts w:ascii="Calibri" w:hAnsi="Calibri" w:cs="Calibri"/>
        </w:rPr>
        <w:t xml:space="preserve">onsiderations for Establishing a </w:t>
      </w:r>
      <w:r w:rsidR="00DF4726" w:rsidRPr="00DB6FFF">
        <w:rPr>
          <w:rFonts w:ascii="Calibri" w:hAnsi="Calibri" w:cs="Calibri"/>
        </w:rPr>
        <w:t>Pilot</w:t>
      </w:r>
      <w:r w:rsidR="00356EB2">
        <w:rPr>
          <w:rFonts w:ascii="Calibri" w:hAnsi="Calibri" w:cs="Calibri"/>
        </w:rPr>
        <w:t>, Non-Punitive,</w:t>
      </w:r>
      <w:r w:rsidR="00EB328B">
        <w:rPr>
          <w:rFonts w:ascii="Calibri" w:hAnsi="Calibri" w:cs="Calibri"/>
        </w:rPr>
        <w:t xml:space="preserve"> </w:t>
      </w:r>
      <w:r w:rsidR="00F41B44">
        <w:rPr>
          <w:rFonts w:ascii="Calibri" w:hAnsi="Calibri" w:cs="Calibri"/>
        </w:rPr>
        <w:t>Close</w:t>
      </w:r>
      <w:r w:rsidR="00356EB2">
        <w:rPr>
          <w:rFonts w:ascii="Calibri" w:hAnsi="Calibri" w:cs="Calibri"/>
        </w:rPr>
        <w:t xml:space="preserve"> </w:t>
      </w:r>
      <w:r w:rsidR="00F41B44">
        <w:rPr>
          <w:rFonts w:ascii="Calibri" w:hAnsi="Calibri" w:cs="Calibri"/>
        </w:rPr>
        <w:t>Call</w:t>
      </w:r>
      <w:r w:rsidR="005B1383">
        <w:rPr>
          <w:rFonts w:ascii="Calibri" w:hAnsi="Calibri" w:cs="Calibri"/>
        </w:rPr>
        <w:t xml:space="preserve"> </w:t>
      </w:r>
      <w:r w:rsidR="00422843">
        <w:rPr>
          <w:rFonts w:ascii="Calibri" w:hAnsi="Calibri" w:cs="Calibri"/>
        </w:rPr>
        <w:t xml:space="preserve">Safety </w:t>
      </w:r>
      <w:r w:rsidR="005B1383">
        <w:rPr>
          <w:rFonts w:ascii="Calibri" w:hAnsi="Calibri" w:cs="Calibri"/>
        </w:rPr>
        <w:t>Reporting</w:t>
      </w:r>
      <w:r w:rsidR="00D16A02" w:rsidRPr="00DB6FFF">
        <w:rPr>
          <w:rFonts w:ascii="Calibri" w:hAnsi="Calibri" w:cs="Calibri"/>
        </w:rPr>
        <w:t xml:space="preserve"> System</w:t>
      </w:r>
      <w:bookmarkEnd w:id="49"/>
      <w:bookmarkEnd w:id="50"/>
      <w:r w:rsidR="00E1730C">
        <w:rPr>
          <w:rFonts w:ascii="Calibri" w:hAnsi="Calibri" w:cs="Calibri"/>
        </w:rPr>
        <w:t xml:space="preserve"> for the Rail Transit Industry</w:t>
      </w:r>
      <w:bookmarkEnd w:id="51"/>
    </w:p>
    <w:p w:rsidR="008D5301" w:rsidRPr="00DB6FFF" w:rsidRDefault="001D0D27" w:rsidP="002E63B4">
      <w:pPr>
        <w:pStyle w:val="Heading3"/>
      </w:pPr>
      <w:bookmarkStart w:id="52" w:name="_Toc316336507"/>
      <w:bookmarkStart w:id="53" w:name="_Toc317097310"/>
      <w:bookmarkStart w:id="54" w:name="_Toc317106152"/>
      <w:r w:rsidRPr="00DB6FFF">
        <w:t>Confidentiality</w:t>
      </w:r>
      <w:bookmarkEnd w:id="52"/>
      <w:bookmarkEnd w:id="53"/>
      <w:bookmarkEnd w:id="54"/>
    </w:p>
    <w:p w:rsidR="00356EB2" w:rsidRDefault="00C92B67" w:rsidP="00356EB2">
      <w:pPr>
        <w:rPr>
          <w:rFonts w:cs="Calibri"/>
        </w:rPr>
      </w:pPr>
      <w:r w:rsidRPr="00DB6FFF">
        <w:rPr>
          <w:rFonts w:cs="Calibri"/>
        </w:rPr>
        <w:t>The absolute assurance of confidentiality is of paramount importance</w:t>
      </w:r>
      <w:r w:rsidR="00BD46F4" w:rsidRPr="00DB6FFF">
        <w:rPr>
          <w:rFonts w:cs="Calibri"/>
        </w:rPr>
        <w:t xml:space="preserve"> for the success of a</w:t>
      </w:r>
      <w:r w:rsidR="00A84238">
        <w:rPr>
          <w:rFonts w:cs="Calibri"/>
        </w:rPr>
        <w:t xml:space="preserve"> </w:t>
      </w:r>
      <w:r w:rsidR="00FB2C54">
        <w:rPr>
          <w:rFonts w:cs="Calibri"/>
        </w:rPr>
        <w:t xml:space="preserve">non-punitive, </w:t>
      </w:r>
      <w:r w:rsidR="008D7209">
        <w:rPr>
          <w:rFonts w:cs="Calibri"/>
        </w:rPr>
        <w:t>close call</w:t>
      </w:r>
      <w:r w:rsidR="00A84238">
        <w:rPr>
          <w:rFonts w:cs="Calibri"/>
        </w:rPr>
        <w:t xml:space="preserve"> </w:t>
      </w:r>
      <w:r w:rsidR="00422843">
        <w:rPr>
          <w:rFonts w:cs="Calibri"/>
        </w:rPr>
        <w:t xml:space="preserve">safety </w:t>
      </w:r>
      <w:r w:rsidR="00A84238">
        <w:rPr>
          <w:rFonts w:cs="Calibri"/>
        </w:rPr>
        <w:t xml:space="preserve">reporting </w:t>
      </w:r>
      <w:r w:rsidR="00BD46F4" w:rsidRPr="00DB6FFF">
        <w:rPr>
          <w:rFonts w:cs="Calibri"/>
        </w:rPr>
        <w:t>system</w:t>
      </w:r>
      <w:r w:rsidRPr="00DB6FFF">
        <w:rPr>
          <w:rFonts w:cs="Calibri"/>
        </w:rPr>
        <w:t xml:space="preserve">. </w:t>
      </w:r>
      <w:r w:rsidR="00E1297B" w:rsidRPr="00DB6FFF">
        <w:rPr>
          <w:rFonts w:cs="Calibri"/>
        </w:rPr>
        <w:t xml:space="preserve">Even one </w:t>
      </w:r>
      <w:r w:rsidR="002A6E56">
        <w:rPr>
          <w:rFonts w:cs="Calibri"/>
        </w:rPr>
        <w:t xml:space="preserve">breach of confidentiality will </w:t>
      </w:r>
      <w:r w:rsidR="00E1297B" w:rsidRPr="00DB6FFF">
        <w:rPr>
          <w:rFonts w:cs="Calibri"/>
        </w:rPr>
        <w:t xml:space="preserve">ruin a fledgling reporting system. Thus, </w:t>
      </w:r>
      <w:r w:rsidR="00BD46F4" w:rsidRPr="00DB6FFF">
        <w:rPr>
          <w:rFonts w:cs="Calibri"/>
        </w:rPr>
        <w:t>sufficient</w:t>
      </w:r>
      <w:r w:rsidRPr="00DB6FFF">
        <w:rPr>
          <w:rFonts w:cs="Calibri"/>
        </w:rPr>
        <w:t xml:space="preserve"> care should be taken to </w:t>
      </w:r>
      <w:r w:rsidR="00DF4726" w:rsidRPr="00DB6FFF">
        <w:rPr>
          <w:rFonts w:cs="Calibri"/>
        </w:rPr>
        <w:t>establish the proper legal basis for the maximum protection of the pilot system</w:t>
      </w:r>
      <w:r w:rsidR="00275BE9" w:rsidRPr="00DB6FFF">
        <w:rPr>
          <w:rFonts w:cs="Calibri"/>
        </w:rPr>
        <w:t xml:space="preserve">’s confidential data. </w:t>
      </w:r>
      <w:r w:rsidR="00356EB2">
        <w:rPr>
          <w:rFonts w:cs="Calibri"/>
        </w:rPr>
        <w:t>The C</w:t>
      </w:r>
      <w:r w:rsidR="00356EB2" w:rsidRPr="00416AF2">
        <w:rPr>
          <w:rFonts w:cs="Calibri"/>
          <w:vertAlign w:val="superscript"/>
        </w:rPr>
        <w:t>3</w:t>
      </w:r>
      <w:r w:rsidR="00356EB2">
        <w:rPr>
          <w:rFonts w:cs="Calibri"/>
        </w:rPr>
        <w:t xml:space="preserve">RS pilots use two different mechanisms to protect confidential information. </w:t>
      </w:r>
      <w:r w:rsidR="008D48F1">
        <w:rPr>
          <w:rFonts w:cs="Calibri"/>
        </w:rPr>
        <w:t>Some pilots rely</w:t>
      </w:r>
      <w:r w:rsidR="00356EB2">
        <w:rPr>
          <w:rFonts w:cs="Calibri"/>
        </w:rPr>
        <w:t xml:space="preserve"> on the statutory authority provided to statistical agencies under </w:t>
      </w:r>
      <w:r w:rsidR="00F07FB8">
        <w:rPr>
          <w:rFonts w:cs="Calibri"/>
        </w:rPr>
        <w:t xml:space="preserve">the </w:t>
      </w:r>
      <w:r w:rsidR="00F07FB8" w:rsidRPr="00F07FB8">
        <w:rPr>
          <w:rFonts w:cs="Calibri"/>
        </w:rPr>
        <w:t xml:space="preserve">Confidential Information Protection and Statistical Efficiency Act </w:t>
      </w:r>
      <w:r w:rsidR="00F07FB8">
        <w:rPr>
          <w:rFonts w:cs="Calibri"/>
        </w:rPr>
        <w:t>(</w:t>
      </w:r>
      <w:r w:rsidR="00356EB2">
        <w:rPr>
          <w:rFonts w:cs="Calibri"/>
        </w:rPr>
        <w:t>CIPSEA</w:t>
      </w:r>
      <w:r w:rsidR="00F07FB8">
        <w:rPr>
          <w:rFonts w:cs="Calibri"/>
        </w:rPr>
        <w:t>)</w:t>
      </w:r>
      <w:r w:rsidR="00356EB2">
        <w:rPr>
          <w:rFonts w:cs="Calibri"/>
        </w:rPr>
        <w:t xml:space="preserve">. </w:t>
      </w:r>
      <w:r w:rsidR="008D48F1">
        <w:rPr>
          <w:rFonts w:cs="Calibri"/>
        </w:rPr>
        <w:t>Others rely</w:t>
      </w:r>
      <w:r w:rsidR="00356EB2">
        <w:rPr>
          <w:rFonts w:cs="Calibri"/>
        </w:rPr>
        <w:t xml:space="preserve"> on strict administrative controls and procedures that require permanent removal of PII from all reports once they have been processed and coded.  </w:t>
      </w:r>
    </w:p>
    <w:p w:rsidR="009943D6" w:rsidRPr="00DB6FFF" w:rsidRDefault="00BD46F4" w:rsidP="009943D6">
      <w:pPr>
        <w:rPr>
          <w:rFonts w:cs="Calibri"/>
        </w:rPr>
      </w:pPr>
      <w:r w:rsidRPr="00DB6FFF">
        <w:rPr>
          <w:rFonts w:cs="Calibri"/>
        </w:rPr>
        <w:t>T</w:t>
      </w:r>
      <w:r w:rsidR="009943D6" w:rsidRPr="00DB6FFF">
        <w:rPr>
          <w:rFonts w:cs="Calibri"/>
        </w:rPr>
        <w:t xml:space="preserve">he </w:t>
      </w:r>
      <w:r w:rsidR="001A2174">
        <w:rPr>
          <w:rFonts w:cs="Calibri"/>
        </w:rPr>
        <w:t xml:space="preserve">TRACS Working Group recommends that </w:t>
      </w:r>
      <w:r w:rsidR="009943D6" w:rsidRPr="00DB6FFF">
        <w:rPr>
          <w:rFonts w:cs="Calibri"/>
        </w:rPr>
        <w:t xml:space="preserve">FTA </w:t>
      </w:r>
      <w:r w:rsidR="00291C16">
        <w:rPr>
          <w:rFonts w:cs="Calibri"/>
        </w:rPr>
        <w:t xml:space="preserve">conduct a legal analysis </w:t>
      </w:r>
      <w:r w:rsidR="009943D6" w:rsidRPr="00DB6FFF">
        <w:rPr>
          <w:rFonts w:cs="Calibri"/>
        </w:rPr>
        <w:t xml:space="preserve">to ensure that the </w:t>
      </w:r>
      <w:r w:rsidR="00356EB2">
        <w:rPr>
          <w:rFonts w:cs="Calibri"/>
        </w:rPr>
        <w:t xml:space="preserve">following </w:t>
      </w:r>
      <w:r w:rsidR="00291C16">
        <w:rPr>
          <w:rFonts w:cs="Calibri"/>
        </w:rPr>
        <w:t xml:space="preserve">confidentiality </w:t>
      </w:r>
      <w:r w:rsidR="009943D6" w:rsidRPr="00DB6FFF">
        <w:rPr>
          <w:rFonts w:cs="Calibri"/>
        </w:rPr>
        <w:t xml:space="preserve">protections </w:t>
      </w:r>
      <w:r w:rsidR="00356EB2">
        <w:rPr>
          <w:rFonts w:cs="Calibri"/>
        </w:rPr>
        <w:t>are provided as part of any pilot</w:t>
      </w:r>
      <w:r w:rsidR="00BC68FA">
        <w:rPr>
          <w:rFonts w:cs="Calibri"/>
        </w:rPr>
        <w:t>,</w:t>
      </w:r>
      <w:r w:rsidR="00356EB2">
        <w:rPr>
          <w:rFonts w:cs="Calibri"/>
        </w:rPr>
        <w:t xml:space="preserve"> non-punitive, close call safety reporting system for the rail transit industry.</w:t>
      </w:r>
      <w:r w:rsidR="00356EB2" w:rsidRPr="00356EB2">
        <w:rPr>
          <w:rFonts w:cs="Calibri"/>
        </w:rPr>
        <w:t xml:space="preserve"> </w:t>
      </w:r>
      <w:r w:rsidR="00356EB2" w:rsidRPr="003F7B94">
        <w:rPr>
          <w:rFonts w:cs="Calibri"/>
        </w:rPr>
        <w:t>FTA should explore all existing confidentiality protection options that meet these criteria</w:t>
      </w:r>
      <w:r w:rsidR="008D48F1">
        <w:rPr>
          <w:rFonts w:cs="Calibri"/>
        </w:rPr>
        <w:t>.</w:t>
      </w:r>
      <w:r w:rsidR="00356EB2" w:rsidRPr="003F7B94">
        <w:rPr>
          <w:rStyle w:val="FootnoteReference"/>
          <w:rFonts w:cs="Calibri"/>
        </w:rPr>
        <w:footnoteReference w:id="1"/>
      </w:r>
      <w:r w:rsidR="00356EB2" w:rsidRPr="003F7B94">
        <w:rPr>
          <w:rFonts w:cs="Calibri"/>
        </w:rPr>
        <w:t xml:space="preserve"> The </w:t>
      </w:r>
      <w:r w:rsidR="007847FE">
        <w:rPr>
          <w:rFonts w:cs="Calibri"/>
        </w:rPr>
        <w:t>w</w:t>
      </w:r>
      <w:r w:rsidR="00356EB2" w:rsidRPr="003F7B94">
        <w:rPr>
          <w:rFonts w:cs="Calibri"/>
        </w:rPr>
        <w:t xml:space="preserve">orking </w:t>
      </w:r>
      <w:r w:rsidR="007847FE">
        <w:rPr>
          <w:rFonts w:cs="Calibri"/>
        </w:rPr>
        <w:t>g</w:t>
      </w:r>
      <w:r w:rsidR="00356EB2" w:rsidRPr="003F7B94">
        <w:rPr>
          <w:rFonts w:cs="Calibri"/>
        </w:rPr>
        <w:t>roup also recommends that FTA pursue new legislation that would give FTA the authority to ensure the confidentiality of safety information obtained from safety reporting systems.</w:t>
      </w:r>
    </w:p>
    <w:p w:rsidR="009943D6" w:rsidRPr="00DB6FFF" w:rsidRDefault="009943D6" w:rsidP="007310E6">
      <w:pPr>
        <w:pStyle w:val="ListParagraph"/>
        <w:numPr>
          <w:ilvl w:val="0"/>
          <w:numId w:val="5"/>
        </w:numPr>
        <w:rPr>
          <w:rFonts w:cs="Calibri"/>
        </w:rPr>
      </w:pPr>
      <w:r w:rsidRPr="00DB6FFF">
        <w:rPr>
          <w:rFonts w:cs="Calibri"/>
        </w:rPr>
        <w:t>Raw data, such as individual reports</w:t>
      </w:r>
      <w:r w:rsidR="006C1605">
        <w:rPr>
          <w:rFonts w:cs="Calibri"/>
        </w:rPr>
        <w:t xml:space="preserve"> containing PII</w:t>
      </w:r>
      <w:r w:rsidRPr="00DB6FFF">
        <w:rPr>
          <w:rFonts w:cs="Calibri"/>
        </w:rPr>
        <w:t>, must be protected from disclosure beyond the third-party agency</w:t>
      </w:r>
      <w:r w:rsidR="008E7EDD">
        <w:rPr>
          <w:rFonts w:cs="Calibri"/>
        </w:rPr>
        <w:t xml:space="preserve"> and PRT members</w:t>
      </w:r>
      <w:r w:rsidRPr="00DB6FFF">
        <w:rPr>
          <w:rFonts w:cs="Calibri"/>
        </w:rPr>
        <w:t>.</w:t>
      </w:r>
    </w:p>
    <w:p w:rsidR="00275BE9" w:rsidRPr="00DB6FFF" w:rsidRDefault="00DF4726" w:rsidP="007310E6">
      <w:pPr>
        <w:pStyle w:val="ListParagraph"/>
        <w:numPr>
          <w:ilvl w:val="0"/>
          <w:numId w:val="5"/>
        </w:numPr>
        <w:rPr>
          <w:rFonts w:cs="Calibri"/>
        </w:rPr>
      </w:pPr>
      <w:r w:rsidRPr="00DB6FFF">
        <w:rPr>
          <w:rFonts w:cs="Calibri"/>
        </w:rPr>
        <w:t xml:space="preserve">The assurance of confidentiality </w:t>
      </w:r>
      <w:r w:rsidR="00A06EC6">
        <w:rPr>
          <w:rFonts w:cs="Calibri"/>
        </w:rPr>
        <w:t xml:space="preserve">must </w:t>
      </w:r>
      <w:r w:rsidRPr="00DB6FFF">
        <w:rPr>
          <w:rFonts w:cs="Calibri"/>
        </w:rPr>
        <w:t>extend</w:t>
      </w:r>
      <w:r w:rsidR="00A06EC6">
        <w:rPr>
          <w:rFonts w:cs="Calibri"/>
        </w:rPr>
        <w:t xml:space="preserve"> </w:t>
      </w:r>
      <w:r w:rsidRPr="00DB6FFF">
        <w:rPr>
          <w:rFonts w:cs="Calibri"/>
        </w:rPr>
        <w:t xml:space="preserve">to </w:t>
      </w:r>
      <w:r w:rsidR="00A06EC6">
        <w:rPr>
          <w:rFonts w:cs="Calibri"/>
        </w:rPr>
        <w:t>the RTAs</w:t>
      </w:r>
      <w:r w:rsidR="0041691C">
        <w:rPr>
          <w:rFonts w:cs="Calibri"/>
        </w:rPr>
        <w:t xml:space="preserve">, and </w:t>
      </w:r>
      <w:r w:rsidR="00202048">
        <w:rPr>
          <w:rFonts w:cs="Calibri"/>
        </w:rPr>
        <w:t xml:space="preserve">offer exemption from </w:t>
      </w:r>
      <w:r w:rsidR="0041691C">
        <w:rPr>
          <w:rFonts w:cs="Calibri"/>
        </w:rPr>
        <w:t>disclosure under</w:t>
      </w:r>
      <w:r w:rsidR="00A06EC6">
        <w:rPr>
          <w:rFonts w:cs="Calibri"/>
        </w:rPr>
        <w:t xml:space="preserve"> </w:t>
      </w:r>
      <w:r w:rsidRPr="00DB6FFF">
        <w:rPr>
          <w:rFonts w:cs="Calibri"/>
        </w:rPr>
        <w:t>the FOIA</w:t>
      </w:r>
      <w:r w:rsidR="00422D26" w:rsidRPr="00DB6FFF">
        <w:rPr>
          <w:rFonts w:cs="Calibri"/>
        </w:rPr>
        <w:t xml:space="preserve">, relevant </w:t>
      </w:r>
      <w:r w:rsidR="008E7EDD">
        <w:rPr>
          <w:rFonts w:cs="Calibri"/>
        </w:rPr>
        <w:t>S</w:t>
      </w:r>
      <w:r w:rsidR="00422D26" w:rsidRPr="00DB6FFF">
        <w:rPr>
          <w:rFonts w:cs="Calibri"/>
        </w:rPr>
        <w:t>tate statu</w:t>
      </w:r>
      <w:r w:rsidR="00F07FB8">
        <w:rPr>
          <w:rFonts w:cs="Calibri"/>
        </w:rPr>
        <w:t>t</w:t>
      </w:r>
      <w:r w:rsidR="00422D26" w:rsidRPr="00DB6FFF">
        <w:rPr>
          <w:rFonts w:cs="Calibri"/>
        </w:rPr>
        <w:t>es</w:t>
      </w:r>
      <w:r w:rsidR="00F07FB8">
        <w:rPr>
          <w:rFonts w:cs="Calibri"/>
        </w:rPr>
        <w:t>,</w:t>
      </w:r>
      <w:r w:rsidRPr="00DB6FFF">
        <w:rPr>
          <w:rFonts w:cs="Calibri"/>
        </w:rPr>
        <w:t xml:space="preserve"> and legal discovery</w:t>
      </w:r>
      <w:r w:rsidR="00202048">
        <w:rPr>
          <w:rFonts w:cs="Calibri"/>
        </w:rPr>
        <w:t xml:space="preserve"> of information related to </w:t>
      </w:r>
      <w:r w:rsidR="008D7209">
        <w:rPr>
          <w:rFonts w:cs="Calibri"/>
        </w:rPr>
        <w:t>close call</w:t>
      </w:r>
      <w:r w:rsidR="00202048">
        <w:rPr>
          <w:rFonts w:cs="Calibri"/>
        </w:rPr>
        <w:t xml:space="preserve"> events</w:t>
      </w:r>
      <w:r w:rsidRPr="00DB6FFF">
        <w:rPr>
          <w:rFonts w:cs="Calibri"/>
        </w:rPr>
        <w:t xml:space="preserve">. </w:t>
      </w:r>
      <w:r w:rsidR="00275BE9" w:rsidRPr="00DB6FFF">
        <w:rPr>
          <w:rFonts w:cs="Calibri"/>
        </w:rPr>
        <w:t xml:space="preserve"> </w:t>
      </w:r>
    </w:p>
    <w:p w:rsidR="00275BE9" w:rsidRPr="00DB6FFF" w:rsidRDefault="00F07FB8" w:rsidP="007310E6">
      <w:pPr>
        <w:pStyle w:val="ListParagraph"/>
        <w:numPr>
          <w:ilvl w:val="0"/>
          <w:numId w:val="5"/>
        </w:numPr>
        <w:rPr>
          <w:rFonts w:cs="Calibri"/>
        </w:rPr>
      </w:pPr>
      <w:r>
        <w:rPr>
          <w:rFonts w:cs="Calibri"/>
        </w:rPr>
        <w:t>T</w:t>
      </w:r>
      <w:r w:rsidR="00275BE9" w:rsidRPr="00DB6FFF">
        <w:rPr>
          <w:rFonts w:cs="Calibri"/>
        </w:rPr>
        <w:t xml:space="preserve">o minimize the risk of disclosure, PII should be permanently removed from reports once analysis </w:t>
      </w:r>
      <w:r w:rsidR="008E7EDD">
        <w:rPr>
          <w:rFonts w:cs="Calibri"/>
        </w:rPr>
        <w:t>and follow-up are</w:t>
      </w:r>
      <w:r w:rsidR="00275BE9" w:rsidRPr="00DB6FFF">
        <w:rPr>
          <w:rFonts w:cs="Calibri"/>
        </w:rPr>
        <w:t xml:space="preserve"> complete. </w:t>
      </w:r>
    </w:p>
    <w:p w:rsidR="003F65B6" w:rsidRPr="00613FE4" w:rsidRDefault="00DF4726" w:rsidP="00613FE4">
      <w:pPr>
        <w:pStyle w:val="ListParagraph"/>
        <w:numPr>
          <w:ilvl w:val="0"/>
          <w:numId w:val="5"/>
        </w:numPr>
        <w:rPr>
          <w:rFonts w:cs="Calibri"/>
        </w:rPr>
      </w:pPr>
      <w:r w:rsidRPr="00613FE4">
        <w:rPr>
          <w:rFonts w:cs="Calibri"/>
        </w:rPr>
        <w:t xml:space="preserve">If trend data </w:t>
      </w:r>
      <w:r w:rsidR="00F07FB8">
        <w:rPr>
          <w:rFonts w:cs="Calibri"/>
        </w:rPr>
        <w:t>are</w:t>
      </w:r>
      <w:r w:rsidR="00F07FB8" w:rsidRPr="00613FE4">
        <w:rPr>
          <w:rFonts w:cs="Calibri"/>
        </w:rPr>
        <w:t xml:space="preserve"> </w:t>
      </w:r>
      <w:r w:rsidRPr="00613FE4">
        <w:rPr>
          <w:rFonts w:cs="Calibri"/>
        </w:rPr>
        <w:t>to be collected,</w:t>
      </w:r>
      <w:r w:rsidR="00F773FA" w:rsidRPr="00613FE4">
        <w:rPr>
          <w:rFonts w:cs="Calibri"/>
        </w:rPr>
        <w:t xml:space="preserve"> the third-party agency should strip</w:t>
      </w:r>
      <w:r w:rsidRPr="00613FE4">
        <w:rPr>
          <w:rFonts w:cs="Calibri"/>
        </w:rPr>
        <w:t xml:space="preserve"> </w:t>
      </w:r>
      <w:r w:rsidR="00F07FB8">
        <w:rPr>
          <w:rFonts w:cs="Calibri"/>
        </w:rPr>
        <w:t>the</w:t>
      </w:r>
      <w:r w:rsidR="00F07FB8" w:rsidRPr="00613FE4">
        <w:rPr>
          <w:rFonts w:cs="Calibri"/>
        </w:rPr>
        <w:t xml:space="preserve"> </w:t>
      </w:r>
      <w:r w:rsidR="00F773FA" w:rsidRPr="00613FE4">
        <w:rPr>
          <w:rFonts w:cs="Calibri"/>
        </w:rPr>
        <w:t xml:space="preserve">data </w:t>
      </w:r>
      <w:r w:rsidR="00275BE9" w:rsidRPr="00613FE4">
        <w:rPr>
          <w:rFonts w:cs="Calibri"/>
        </w:rPr>
        <w:t xml:space="preserve">of any </w:t>
      </w:r>
      <w:r w:rsidR="00F07FB8">
        <w:rPr>
          <w:rFonts w:cs="Calibri"/>
        </w:rPr>
        <w:t xml:space="preserve">identifying </w:t>
      </w:r>
      <w:r w:rsidR="00275BE9" w:rsidRPr="00613FE4">
        <w:rPr>
          <w:rFonts w:cs="Calibri"/>
        </w:rPr>
        <w:t xml:space="preserve">features about any individual RTA. </w:t>
      </w:r>
      <w:r w:rsidR="009943D6" w:rsidRPr="00613FE4">
        <w:rPr>
          <w:rFonts w:cs="Calibri"/>
        </w:rPr>
        <w:t xml:space="preserve">All pilot system participants should receive thorough training on the protections against disclosure that the system provides.  </w:t>
      </w:r>
    </w:p>
    <w:p w:rsidR="009943D6" w:rsidRDefault="00422D26" w:rsidP="007310E6">
      <w:pPr>
        <w:pStyle w:val="ListParagraph"/>
        <w:numPr>
          <w:ilvl w:val="0"/>
          <w:numId w:val="5"/>
        </w:numPr>
        <w:rPr>
          <w:rFonts w:cs="Calibri"/>
        </w:rPr>
      </w:pPr>
      <w:r w:rsidRPr="00DB6FFF">
        <w:rPr>
          <w:rFonts w:cs="Calibri"/>
        </w:rPr>
        <w:t>PRT members must agree to a strict prohibition from disclosing any confidential information they learn of through participation in the PRT.</w:t>
      </w:r>
    </w:p>
    <w:p w:rsidR="00171CBB" w:rsidRPr="00DB6FFF" w:rsidRDefault="00171CBB" w:rsidP="002E63B4">
      <w:pPr>
        <w:pStyle w:val="Heading3"/>
        <w:rPr>
          <w:rFonts w:ascii="Calibri" w:hAnsi="Calibri"/>
        </w:rPr>
      </w:pPr>
      <w:bookmarkStart w:id="55" w:name="_Toc316336508"/>
      <w:bookmarkStart w:id="56" w:name="_Toc317097311"/>
      <w:bookmarkStart w:id="57" w:name="_Toc317106153"/>
      <w:r w:rsidRPr="00DB6FFF">
        <w:rPr>
          <w:rFonts w:ascii="Calibri" w:hAnsi="Calibri"/>
        </w:rPr>
        <w:lastRenderedPageBreak/>
        <w:t>Pilot Sites</w:t>
      </w:r>
      <w:bookmarkEnd w:id="55"/>
      <w:bookmarkEnd w:id="56"/>
      <w:bookmarkEnd w:id="57"/>
    </w:p>
    <w:p w:rsidR="00C92B67" w:rsidRPr="00DB6FFF" w:rsidRDefault="00C92B67" w:rsidP="00BD46F4">
      <w:pPr>
        <w:rPr>
          <w:rFonts w:cs="Calibri"/>
        </w:rPr>
      </w:pPr>
      <w:r w:rsidRPr="00DB6FFF">
        <w:rPr>
          <w:rFonts w:cs="Calibri"/>
        </w:rPr>
        <w:t>Large tr</w:t>
      </w:r>
      <w:r w:rsidR="003F65B6" w:rsidRPr="00DB6FFF">
        <w:rPr>
          <w:rFonts w:cs="Calibri"/>
        </w:rPr>
        <w:t xml:space="preserve">ansit agencies that are </w:t>
      </w:r>
      <w:r w:rsidR="0096519B">
        <w:rPr>
          <w:rFonts w:cs="Calibri"/>
        </w:rPr>
        <w:t xml:space="preserve">currently </w:t>
      </w:r>
      <w:r w:rsidRPr="00DB6FFF">
        <w:rPr>
          <w:rFonts w:cs="Calibri"/>
        </w:rPr>
        <w:t xml:space="preserve">developing </w:t>
      </w:r>
      <w:r w:rsidR="008D7209">
        <w:rPr>
          <w:rFonts w:cs="Calibri"/>
        </w:rPr>
        <w:t>close call</w:t>
      </w:r>
      <w:r w:rsidR="0096519B">
        <w:rPr>
          <w:rFonts w:cs="Calibri"/>
        </w:rPr>
        <w:t xml:space="preserve"> </w:t>
      </w:r>
      <w:r w:rsidR="00046A8D">
        <w:rPr>
          <w:rFonts w:cs="Calibri"/>
        </w:rPr>
        <w:t xml:space="preserve">safety </w:t>
      </w:r>
      <w:r w:rsidRPr="00DB6FFF">
        <w:rPr>
          <w:rFonts w:cs="Calibri"/>
        </w:rPr>
        <w:t xml:space="preserve">reporting systems of their own may be the best initial candidates for a </w:t>
      </w:r>
      <w:r w:rsidR="0096519B">
        <w:rPr>
          <w:rFonts w:cs="Calibri"/>
        </w:rPr>
        <w:t xml:space="preserve">FTA </w:t>
      </w:r>
      <w:r w:rsidRPr="00DB6FFF">
        <w:rPr>
          <w:rFonts w:cs="Calibri"/>
        </w:rPr>
        <w:t xml:space="preserve">pilot </w:t>
      </w:r>
      <w:r w:rsidR="008D7209">
        <w:rPr>
          <w:rFonts w:cs="Calibri"/>
        </w:rPr>
        <w:t>close call</w:t>
      </w:r>
      <w:r w:rsidR="0096519B">
        <w:rPr>
          <w:rFonts w:cs="Calibri"/>
        </w:rPr>
        <w:t xml:space="preserve"> </w:t>
      </w:r>
      <w:r w:rsidR="00046A8D">
        <w:rPr>
          <w:rFonts w:cs="Calibri"/>
        </w:rPr>
        <w:t xml:space="preserve">safety </w:t>
      </w:r>
      <w:r w:rsidRPr="00DB6FFF">
        <w:rPr>
          <w:rFonts w:cs="Calibri"/>
        </w:rPr>
        <w:t xml:space="preserve">reporting system because they tend to have more resources. However, it is important to consider the diverse nature of the rail transit industry when selecting sites for </w:t>
      </w:r>
      <w:r w:rsidR="00090733">
        <w:rPr>
          <w:rFonts w:cs="Calibri"/>
        </w:rPr>
        <w:t xml:space="preserve">such </w:t>
      </w:r>
      <w:r w:rsidRPr="00DB6FFF">
        <w:rPr>
          <w:rFonts w:cs="Calibri"/>
        </w:rPr>
        <w:t>a pilot. Selecting sites from among large, medium</w:t>
      </w:r>
      <w:r w:rsidR="00FD423C">
        <w:rPr>
          <w:rFonts w:cs="Calibri"/>
        </w:rPr>
        <w:t>,</w:t>
      </w:r>
      <w:r w:rsidRPr="00DB6FFF">
        <w:rPr>
          <w:rFonts w:cs="Calibri"/>
        </w:rPr>
        <w:t xml:space="preserve"> and small RTAs may allow </w:t>
      </w:r>
      <w:r w:rsidR="00FD423C">
        <w:rPr>
          <w:rFonts w:cs="Calibri"/>
        </w:rPr>
        <w:t>for the</w:t>
      </w:r>
      <w:r w:rsidRPr="00DB6FFF">
        <w:rPr>
          <w:rFonts w:cs="Calibri"/>
        </w:rPr>
        <w:t xml:space="preserve"> practical differences between RTAs that a national system would need to </w:t>
      </w:r>
      <w:r w:rsidR="00FD423C">
        <w:rPr>
          <w:rFonts w:cs="Calibri"/>
        </w:rPr>
        <w:t>evaluate</w:t>
      </w:r>
      <w:r w:rsidRPr="00DB6FFF">
        <w:rPr>
          <w:rFonts w:cs="Calibri"/>
        </w:rPr>
        <w:t>.</w:t>
      </w:r>
      <w:r w:rsidR="005B67E9" w:rsidRPr="00DB6FFF">
        <w:rPr>
          <w:rFonts w:cs="Calibri"/>
        </w:rPr>
        <w:t xml:space="preserve"> </w:t>
      </w:r>
    </w:p>
    <w:p w:rsidR="00275BE9" w:rsidRPr="00DB6FFF" w:rsidRDefault="00FD423C" w:rsidP="007310E6">
      <w:pPr>
        <w:pStyle w:val="ListParagraph"/>
        <w:numPr>
          <w:ilvl w:val="0"/>
          <w:numId w:val="6"/>
        </w:numPr>
        <w:rPr>
          <w:rFonts w:cs="Calibri"/>
        </w:rPr>
      </w:pPr>
      <w:r>
        <w:rPr>
          <w:rFonts w:cs="Calibri"/>
        </w:rPr>
        <w:t>Se</w:t>
      </w:r>
      <w:r w:rsidR="00C92B67" w:rsidRPr="00DB6FFF">
        <w:rPr>
          <w:rFonts w:cs="Calibri"/>
        </w:rPr>
        <w:t>lect pilot sites where all stakeholders</w:t>
      </w:r>
      <w:r w:rsidR="002645B6">
        <w:rPr>
          <w:rFonts w:cs="Calibri"/>
        </w:rPr>
        <w:t xml:space="preserve"> (e.g.</w:t>
      </w:r>
      <w:r>
        <w:rPr>
          <w:rFonts w:cs="Calibri"/>
        </w:rPr>
        <w:t>,</w:t>
      </w:r>
      <w:r w:rsidR="002645B6">
        <w:rPr>
          <w:rFonts w:cs="Calibri"/>
        </w:rPr>
        <w:t xml:space="preserve"> RTA management and supervisors</w:t>
      </w:r>
      <w:r>
        <w:rPr>
          <w:rFonts w:cs="Calibri"/>
        </w:rPr>
        <w:t>,</w:t>
      </w:r>
      <w:r w:rsidR="002645B6">
        <w:rPr>
          <w:rFonts w:cs="Calibri"/>
        </w:rPr>
        <w:t xml:space="preserve"> labor unions</w:t>
      </w:r>
      <w:r>
        <w:rPr>
          <w:rFonts w:cs="Calibri"/>
        </w:rPr>
        <w:t>,</w:t>
      </w:r>
      <w:r w:rsidR="002645B6">
        <w:rPr>
          <w:rFonts w:cs="Calibri"/>
        </w:rPr>
        <w:t xml:space="preserve"> SSO)</w:t>
      </w:r>
      <w:r w:rsidR="00C92B67" w:rsidRPr="00DB6FFF">
        <w:rPr>
          <w:rFonts w:cs="Calibri"/>
        </w:rPr>
        <w:t xml:space="preserve"> are committed </w:t>
      </w:r>
      <w:r w:rsidR="005B67E9" w:rsidRPr="00DB6FFF">
        <w:rPr>
          <w:rFonts w:cs="Calibri"/>
        </w:rPr>
        <w:t xml:space="preserve">to the </w:t>
      </w:r>
      <w:r w:rsidR="00C92B67" w:rsidRPr="00DB6FFF">
        <w:rPr>
          <w:rFonts w:cs="Calibri"/>
        </w:rPr>
        <w:t xml:space="preserve">project </w:t>
      </w:r>
      <w:r>
        <w:rPr>
          <w:rFonts w:cs="Calibri"/>
        </w:rPr>
        <w:t>to maximize</w:t>
      </w:r>
      <w:r w:rsidR="00C92B67" w:rsidRPr="00DB6FFF">
        <w:rPr>
          <w:rFonts w:cs="Calibri"/>
        </w:rPr>
        <w:t xml:space="preserve"> success. </w:t>
      </w:r>
    </w:p>
    <w:p w:rsidR="00275BE9" w:rsidRPr="00DB6FFF" w:rsidRDefault="00275BE9" w:rsidP="00BD46F4">
      <w:pPr>
        <w:pStyle w:val="ListParagraph"/>
        <w:rPr>
          <w:rFonts w:cs="Calibri"/>
        </w:rPr>
      </w:pPr>
    </w:p>
    <w:p w:rsidR="00C46F9E" w:rsidRPr="00C46F9E" w:rsidRDefault="004F1896" w:rsidP="00C46F9E">
      <w:pPr>
        <w:pStyle w:val="ListParagraph"/>
        <w:numPr>
          <w:ilvl w:val="0"/>
          <w:numId w:val="6"/>
        </w:numPr>
        <w:rPr>
          <w:rFonts w:cs="Calibri"/>
        </w:rPr>
      </w:pPr>
      <w:r>
        <w:rPr>
          <w:rFonts w:cs="Calibri"/>
        </w:rPr>
        <w:t>Select</w:t>
      </w:r>
      <w:r w:rsidR="00E75C7B">
        <w:rPr>
          <w:rFonts w:cs="Calibri"/>
        </w:rPr>
        <w:t xml:space="preserve"> </w:t>
      </w:r>
      <w:r w:rsidR="003A044A" w:rsidRPr="00C46F9E">
        <w:rPr>
          <w:rFonts w:cs="Calibri"/>
        </w:rPr>
        <w:t xml:space="preserve">three to </w:t>
      </w:r>
      <w:r w:rsidR="00DB6FFF" w:rsidRPr="00C46F9E">
        <w:rPr>
          <w:rFonts w:cs="Calibri"/>
        </w:rPr>
        <w:t>six sites</w:t>
      </w:r>
      <w:r w:rsidR="005B67E9" w:rsidRPr="00C46F9E">
        <w:rPr>
          <w:rFonts w:cs="Calibri"/>
        </w:rPr>
        <w:t xml:space="preserve"> </w:t>
      </w:r>
      <w:r w:rsidR="00C46F9E" w:rsidRPr="00C46F9E">
        <w:rPr>
          <w:rFonts w:cs="Calibri"/>
        </w:rPr>
        <w:t xml:space="preserve">that FTA believes </w:t>
      </w:r>
      <w:r w:rsidR="0053211C">
        <w:rPr>
          <w:rFonts w:cs="Calibri"/>
        </w:rPr>
        <w:t>have sufficient</w:t>
      </w:r>
      <w:r w:rsidR="00C46F9E" w:rsidRPr="00C46F9E">
        <w:rPr>
          <w:rFonts w:cs="Calibri"/>
        </w:rPr>
        <w:t xml:space="preserve"> intere</w:t>
      </w:r>
      <w:r w:rsidR="0053211C">
        <w:rPr>
          <w:rFonts w:cs="Calibri"/>
        </w:rPr>
        <w:t xml:space="preserve">st, </w:t>
      </w:r>
      <w:r w:rsidR="00C46F9E" w:rsidRPr="00C46F9E">
        <w:rPr>
          <w:rFonts w:cs="Calibri"/>
        </w:rPr>
        <w:t>resources</w:t>
      </w:r>
      <w:r w:rsidR="00FD423C">
        <w:rPr>
          <w:rFonts w:cs="Calibri"/>
        </w:rPr>
        <w:t>,</w:t>
      </w:r>
      <w:r w:rsidR="00C46F9E" w:rsidRPr="00C46F9E">
        <w:rPr>
          <w:rFonts w:cs="Calibri"/>
        </w:rPr>
        <w:t xml:space="preserve"> </w:t>
      </w:r>
      <w:r w:rsidR="0053211C">
        <w:rPr>
          <w:rFonts w:cs="Calibri"/>
        </w:rPr>
        <w:t>and commitment</w:t>
      </w:r>
      <w:r w:rsidR="00C46F9E" w:rsidRPr="00C46F9E">
        <w:rPr>
          <w:rFonts w:cs="Calibri"/>
        </w:rPr>
        <w:t xml:space="preserve">, </w:t>
      </w:r>
      <w:r w:rsidR="005B67E9" w:rsidRPr="00C46F9E">
        <w:rPr>
          <w:rFonts w:cs="Calibri"/>
        </w:rPr>
        <w:t xml:space="preserve">and expand to additional sites </w:t>
      </w:r>
      <w:r w:rsidR="00CA221A" w:rsidRPr="00C46F9E">
        <w:rPr>
          <w:rFonts w:cs="Calibri"/>
        </w:rPr>
        <w:t xml:space="preserve">if the pilots </w:t>
      </w:r>
      <w:r>
        <w:rPr>
          <w:rFonts w:cs="Calibri"/>
        </w:rPr>
        <w:t>are</w:t>
      </w:r>
      <w:r w:rsidR="00CA221A" w:rsidRPr="00C46F9E">
        <w:rPr>
          <w:rFonts w:cs="Calibri"/>
        </w:rPr>
        <w:t xml:space="preserve"> deemed </w:t>
      </w:r>
      <w:r w:rsidR="00C46F9E">
        <w:rPr>
          <w:rFonts w:cs="Calibri"/>
        </w:rPr>
        <w:t xml:space="preserve">by FTA </w:t>
      </w:r>
      <w:r w:rsidR="00CA221A" w:rsidRPr="00C46F9E">
        <w:rPr>
          <w:rFonts w:cs="Calibri"/>
        </w:rPr>
        <w:t>to be successful.</w:t>
      </w:r>
      <w:r w:rsidR="00C46F9E">
        <w:rPr>
          <w:rFonts w:cs="Calibri"/>
        </w:rPr>
        <w:t xml:space="preserve"> </w:t>
      </w:r>
    </w:p>
    <w:p w:rsidR="00C46F9E" w:rsidRPr="00C46F9E" w:rsidRDefault="00C46F9E" w:rsidP="00C46F9E">
      <w:pPr>
        <w:pStyle w:val="ListParagraph"/>
        <w:rPr>
          <w:rFonts w:cs="Calibri"/>
        </w:rPr>
      </w:pPr>
    </w:p>
    <w:p w:rsidR="00C92B67" w:rsidRPr="00DB6FFF" w:rsidRDefault="00C92B67" w:rsidP="007310E6">
      <w:pPr>
        <w:pStyle w:val="ListParagraph"/>
        <w:numPr>
          <w:ilvl w:val="0"/>
          <w:numId w:val="6"/>
        </w:numPr>
        <w:rPr>
          <w:rFonts w:cs="Calibri"/>
        </w:rPr>
      </w:pPr>
      <w:r w:rsidRPr="00DB6FFF">
        <w:rPr>
          <w:rFonts w:cs="Calibri"/>
        </w:rPr>
        <w:t>A</w:t>
      </w:r>
      <w:r w:rsidR="00FD423C">
        <w:rPr>
          <w:rFonts w:cs="Calibri"/>
        </w:rPr>
        <w:t>void a</w:t>
      </w:r>
      <w:r w:rsidRPr="00DB6FFF">
        <w:rPr>
          <w:rFonts w:cs="Calibri"/>
        </w:rPr>
        <w:t>gencies wit</w:t>
      </w:r>
      <w:r w:rsidR="00275BE9" w:rsidRPr="00DB6FFF">
        <w:rPr>
          <w:rFonts w:cs="Calibri"/>
        </w:rPr>
        <w:t xml:space="preserve">h </w:t>
      </w:r>
      <w:r w:rsidRPr="00DB6FFF">
        <w:rPr>
          <w:rFonts w:cs="Calibri"/>
        </w:rPr>
        <w:t xml:space="preserve">strained </w:t>
      </w:r>
      <w:r w:rsidR="00FD423C" w:rsidRPr="00DB6FFF">
        <w:rPr>
          <w:rFonts w:cs="Calibri"/>
        </w:rPr>
        <w:t xml:space="preserve">labor and management </w:t>
      </w:r>
      <w:r w:rsidRPr="00DB6FFF">
        <w:rPr>
          <w:rFonts w:cs="Calibri"/>
        </w:rPr>
        <w:t xml:space="preserve">relationships as pilot sites as tensions will make </w:t>
      </w:r>
      <w:r w:rsidR="00FD423C">
        <w:rPr>
          <w:rFonts w:cs="Calibri"/>
        </w:rPr>
        <w:t xml:space="preserve">the </w:t>
      </w:r>
      <w:r w:rsidR="00275BE9" w:rsidRPr="00DB6FFF">
        <w:rPr>
          <w:rFonts w:cs="Calibri"/>
        </w:rPr>
        <w:t>trust</w:t>
      </w:r>
      <w:r w:rsidR="00C86D30">
        <w:rPr>
          <w:rFonts w:cs="Calibri"/>
        </w:rPr>
        <w:t>-</w:t>
      </w:r>
      <w:r w:rsidRPr="00DB6FFF">
        <w:rPr>
          <w:rFonts w:cs="Calibri"/>
        </w:rPr>
        <w:t>building period more difficult</w:t>
      </w:r>
      <w:r w:rsidR="005B67E9" w:rsidRPr="00DB6FFF">
        <w:rPr>
          <w:rFonts w:cs="Calibri"/>
        </w:rPr>
        <w:t>, thus increasing chances of failure</w:t>
      </w:r>
      <w:r w:rsidRPr="00DB6FFF">
        <w:rPr>
          <w:rFonts w:cs="Calibri"/>
        </w:rPr>
        <w:t>.</w:t>
      </w:r>
    </w:p>
    <w:p w:rsidR="0046799A" w:rsidRDefault="0046799A" w:rsidP="002E63B4">
      <w:pPr>
        <w:pStyle w:val="Heading3"/>
      </w:pPr>
      <w:r>
        <w:t>Criteria for Success: Pilot Program Evaluation</w:t>
      </w:r>
    </w:p>
    <w:p w:rsidR="0046799A" w:rsidRDefault="0046799A" w:rsidP="0046799A">
      <w:r w:rsidRPr="004A48BE">
        <w:t>The pilot program</w:t>
      </w:r>
      <w:r>
        <w:t xml:space="preserve"> should be evaluated for two primary reasons:</w:t>
      </w:r>
    </w:p>
    <w:p w:rsidR="00070142" w:rsidRDefault="0046799A" w:rsidP="006323CF">
      <w:pPr>
        <w:numPr>
          <w:ilvl w:val="0"/>
          <w:numId w:val="31"/>
        </w:numPr>
      </w:pPr>
      <w:r>
        <w:t>To ensure that the pilot program is successful in producing value to the safety of rail transit systems; and</w:t>
      </w:r>
    </w:p>
    <w:p w:rsidR="0046799A" w:rsidRDefault="0046799A" w:rsidP="006323CF">
      <w:pPr>
        <w:numPr>
          <w:ilvl w:val="0"/>
          <w:numId w:val="31"/>
        </w:numPr>
      </w:pPr>
      <w:r>
        <w:t xml:space="preserve">To identify areas of needed improvement and resources for implementation beyond the pilot sites. </w:t>
      </w:r>
    </w:p>
    <w:p w:rsidR="0046799A" w:rsidRDefault="0046799A" w:rsidP="0046799A">
      <w:r>
        <w:t xml:space="preserve">In this regard, the working group makes the following recommendations, with </w:t>
      </w:r>
      <w:r w:rsidR="00C72747">
        <w:t xml:space="preserve">greater </w:t>
      </w:r>
      <w:r>
        <w:t>detail in Appendix C.</w:t>
      </w:r>
      <w:r>
        <w:rPr>
          <w:rStyle w:val="FootnoteReference"/>
          <w:rFonts w:eastAsia="Calibri"/>
        </w:rPr>
        <w:footnoteReference w:id="2"/>
      </w:r>
      <w:r>
        <w:t xml:space="preserve"> In summary, the evaluation</w:t>
      </w:r>
      <w:r w:rsidR="00753B3C">
        <w:t xml:space="preserve"> primarily should </w:t>
      </w:r>
      <w:r>
        <w:t>determine if the pilot was successful in its goal to produce hazard identifications that otherwise would not have been identified and mitigated.</w:t>
      </w:r>
    </w:p>
    <w:p w:rsidR="0046799A" w:rsidRDefault="0046799A" w:rsidP="0046799A">
      <w:r>
        <w:t xml:space="preserve">The evaluation </w:t>
      </w:r>
      <w:r w:rsidR="00070142">
        <w:t xml:space="preserve">of the pilot </w:t>
      </w:r>
      <w:r>
        <w:t>would include:</w:t>
      </w:r>
    </w:p>
    <w:p w:rsidR="0046799A" w:rsidRDefault="0046799A" w:rsidP="006323CF">
      <w:pPr>
        <w:numPr>
          <w:ilvl w:val="0"/>
          <w:numId w:val="30"/>
        </w:numPr>
        <w:spacing w:after="80"/>
      </w:pPr>
      <w:r w:rsidRPr="00ED29B7">
        <w:rPr>
          <w:b/>
        </w:rPr>
        <w:t>Logic model</w:t>
      </w:r>
      <w:r>
        <w:rPr>
          <w:b/>
        </w:rPr>
        <w:t>.</w:t>
      </w:r>
      <w:r>
        <w:t xml:space="preserve"> The model would describe and illustrate program theory, identify program components and how they were causally connected, and thus how the outcomes are produced.</w:t>
      </w:r>
    </w:p>
    <w:p w:rsidR="0046799A" w:rsidRDefault="0046799A" w:rsidP="006323CF">
      <w:pPr>
        <w:numPr>
          <w:ilvl w:val="0"/>
          <w:numId w:val="30"/>
        </w:numPr>
        <w:spacing w:after="80"/>
      </w:pPr>
      <w:r w:rsidRPr="00ED29B7">
        <w:rPr>
          <w:b/>
        </w:rPr>
        <w:lastRenderedPageBreak/>
        <w:t>Inputs.</w:t>
      </w:r>
      <w:r>
        <w:t xml:space="preserve"> The evaluation should document the resources that were available and used.</w:t>
      </w:r>
    </w:p>
    <w:p w:rsidR="0046799A" w:rsidRDefault="0046799A" w:rsidP="006323CF">
      <w:pPr>
        <w:numPr>
          <w:ilvl w:val="0"/>
          <w:numId w:val="30"/>
        </w:numPr>
        <w:spacing w:after="80"/>
      </w:pPr>
      <w:r>
        <w:rPr>
          <w:b/>
        </w:rPr>
        <w:t xml:space="preserve">Outputs: </w:t>
      </w:r>
      <w:r w:rsidRPr="00ED29B7">
        <w:rPr>
          <w:b/>
        </w:rPr>
        <w:t xml:space="preserve">Implementation </w:t>
      </w:r>
      <w:r>
        <w:rPr>
          <w:b/>
        </w:rPr>
        <w:t xml:space="preserve">activities, </w:t>
      </w:r>
      <w:r w:rsidRPr="00ED29B7">
        <w:rPr>
          <w:b/>
        </w:rPr>
        <w:t>benchmarks</w:t>
      </w:r>
      <w:r>
        <w:rPr>
          <w:b/>
        </w:rPr>
        <w:t>, and</w:t>
      </w:r>
      <w:r w:rsidRPr="00ED29B7">
        <w:rPr>
          <w:b/>
        </w:rPr>
        <w:t xml:space="preserve"> indicators.</w:t>
      </w:r>
      <w:r>
        <w:t xml:space="preserve"> </w:t>
      </w:r>
      <w:r w:rsidR="005B298A">
        <w:t xml:space="preserve">The evaluation should document </w:t>
      </w:r>
      <w:r>
        <w:t>the components put into practice for the pilot projects.</w:t>
      </w:r>
    </w:p>
    <w:p w:rsidR="0046799A" w:rsidRDefault="0046799A" w:rsidP="006323CF">
      <w:pPr>
        <w:numPr>
          <w:ilvl w:val="0"/>
          <w:numId w:val="30"/>
        </w:numPr>
        <w:spacing w:after="80"/>
      </w:pPr>
      <w:r>
        <w:rPr>
          <w:b/>
        </w:rPr>
        <w:t xml:space="preserve">Outputs: </w:t>
      </w:r>
      <w:r w:rsidRPr="00ED29B7">
        <w:rPr>
          <w:b/>
        </w:rPr>
        <w:t>Descriptive statistics.</w:t>
      </w:r>
      <w:r>
        <w:t xml:space="preserve"> Data would document the implementation in terms of time spent, volume of close call reports filed, volume of follow-up reports issued, etc.</w:t>
      </w:r>
    </w:p>
    <w:p w:rsidR="0046799A" w:rsidRDefault="0046799A" w:rsidP="006323CF">
      <w:pPr>
        <w:numPr>
          <w:ilvl w:val="0"/>
          <w:numId w:val="30"/>
        </w:numPr>
        <w:spacing w:after="80"/>
      </w:pPr>
      <w:r>
        <w:rPr>
          <w:b/>
        </w:rPr>
        <w:t>Primary s</w:t>
      </w:r>
      <w:r w:rsidRPr="00ED29B7">
        <w:rPr>
          <w:b/>
        </w:rPr>
        <w:t xml:space="preserve">ubstantive </w:t>
      </w:r>
      <w:r>
        <w:rPr>
          <w:b/>
        </w:rPr>
        <w:t>outcomes</w:t>
      </w:r>
      <w:r w:rsidRPr="00ED29B7">
        <w:rPr>
          <w:b/>
        </w:rPr>
        <w:t>.</w:t>
      </w:r>
      <w:r>
        <w:t xml:space="preserve"> These are the most important criteria and should inform decisions about future </w:t>
      </w:r>
      <w:r w:rsidR="0027083F">
        <w:t>rollouts</w:t>
      </w:r>
      <w:r>
        <w:t>. Did the pilot result in new</w:t>
      </w:r>
      <w:r w:rsidR="005B298A">
        <w:t>,</w:t>
      </w:r>
      <w:r>
        <w:t xml:space="preserve"> useful information that was acted upon to benefit safety that would not have been available</w:t>
      </w:r>
      <w:r w:rsidR="005B298A" w:rsidRPr="005B298A">
        <w:t xml:space="preserve"> </w:t>
      </w:r>
      <w:r w:rsidR="005B298A">
        <w:t>otherwise</w:t>
      </w:r>
      <w:r>
        <w:t xml:space="preserve">? Actual safety performance trends should also be tracked, but due to normal variation and measurement difficulties from factors beyond the context and control of the pilot projects, </w:t>
      </w:r>
      <w:r w:rsidR="0027083F">
        <w:t xml:space="preserve">these </w:t>
      </w:r>
      <w:r>
        <w:t>data may not reveal much about the pilot programs’ success.</w:t>
      </w:r>
    </w:p>
    <w:p w:rsidR="0046799A" w:rsidRDefault="0046799A" w:rsidP="006323CF">
      <w:pPr>
        <w:numPr>
          <w:ilvl w:val="0"/>
          <w:numId w:val="30"/>
        </w:numPr>
        <w:spacing w:after="80"/>
      </w:pPr>
      <w:r w:rsidRPr="00ED29B7">
        <w:rPr>
          <w:b/>
        </w:rPr>
        <w:t>Other</w:t>
      </w:r>
      <w:r>
        <w:rPr>
          <w:b/>
        </w:rPr>
        <w:t xml:space="preserve"> substantive</w:t>
      </w:r>
      <w:r w:rsidRPr="00ED29B7">
        <w:rPr>
          <w:b/>
        </w:rPr>
        <w:t xml:space="preserve"> </w:t>
      </w:r>
      <w:r>
        <w:rPr>
          <w:b/>
        </w:rPr>
        <w:t>outcomes: O</w:t>
      </w:r>
      <w:r w:rsidRPr="00ED29B7">
        <w:rPr>
          <w:b/>
        </w:rPr>
        <w:t>rganizational benefits</w:t>
      </w:r>
      <w:r>
        <w:rPr>
          <w:b/>
        </w:rPr>
        <w:t>, program diagnostics</w:t>
      </w:r>
      <w:r w:rsidRPr="00ED29B7">
        <w:rPr>
          <w:b/>
        </w:rPr>
        <w:t>.</w:t>
      </w:r>
      <w:r>
        <w:t xml:space="preserve"> These may be considered secondary, but </w:t>
      </w:r>
      <w:r w:rsidR="005B298A">
        <w:t xml:space="preserve">are </w:t>
      </w:r>
      <w:r>
        <w:t xml:space="preserve">still important substantive goals. </w:t>
      </w:r>
      <w:r w:rsidRPr="00735254">
        <w:t>Benefits to safety culture in general, such as measures of attitudes, perceptions, trust, justice, empowerment, self-efficacy in safety, job satisfaction,</w:t>
      </w:r>
      <w:r>
        <w:t xml:space="preserve"> and</w:t>
      </w:r>
      <w:r w:rsidRPr="00735254">
        <w:t xml:space="preserve"> organizational citizenship behavior should be examined for general findings, and also to identify areas needing attention.</w:t>
      </w:r>
    </w:p>
    <w:p w:rsidR="0046799A" w:rsidRPr="00735254" w:rsidRDefault="0046799A" w:rsidP="006323CF">
      <w:pPr>
        <w:numPr>
          <w:ilvl w:val="0"/>
          <w:numId w:val="30"/>
        </w:numPr>
        <w:spacing w:after="80"/>
      </w:pPr>
      <w:r w:rsidRPr="00ED29B7">
        <w:rPr>
          <w:b/>
        </w:rPr>
        <w:t>Meta-evaluation.</w:t>
      </w:r>
      <w:r w:rsidRPr="00735254">
        <w:t xml:space="preserve"> A retrospective </w:t>
      </w:r>
      <w:r>
        <w:t>“</w:t>
      </w:r>
      <w:r w:rsidRPr="00735254">
        <w:t xml:space="preserve">evaluation </w:t>
      </w:r>
      <w:r>
        <w:t xml:space="preserve">of the evaluation” </w:t>
      </w:r>
      <w:r w:rsidRPr="00735254">
        <w:t>should be performed to assess how well the evaluation provided the desired information.</w:t>
      </w:r>
    </w:p>
    <w:p w:rsidR="0046799A" w:rsidRPr="0046799A" w:rsidRDefault="0046799A" w:rsidP="00947533"/>
    <w:p w:rsidR="000850EF" w:rsidRDefault="000850EF" w:rsidP="00A772A8">
      <w:pPr>
        <w:pStyle w:val="Heading1"/>
        <w:rPr>
          <w:rFonts w:ascii="Calibri" w:hAnsi="Calibri" w:cs="Calibri"/>
        </w:rPr>
        <w:sectPr w:rsidR="000850EF" w:rsidSect="000850EF">
          <w:endnotePr>
            <w:numFmt w:val="decimal"/>
            <w:numRestart w:val="eachSect"/>
          </w:endnotePr>
          <w:pgSz w:w="12240" w:h="15840"/>
          <w:pgMar w:top="1440" w:right="1800" w:bottom="1440" w:left="1800" w:header="720" w:footer="720" w:gutter="0"/>
          <w:cols w:space="720"/>
          <w:docGrid w:linePitch="360"/>
        </w:sectPr>
      </w:pPr>
      <w:bookmarkStart w:id="58" w:name="_Toc316336509"/>
    </w:p>
    <w:p w:rsidR="00A772A8" w:rsidRPr="00DB6FFF" w:rsidRDefault="00A772A8" w:rsidP="00A772A8">
      <w:pPr>
        <w:pStyle w:val="Heading1"/>
        <w:rPr>
          <w:rFonts w:ascii="Calibri" w:hAnsi="Calibri" w:cs="Calibri"/>
        </w:rPr>
      </w:pPr>
      <w:bookmarkStart w:id="59" w:name="_Toc317106154"/>
      <w:r w:rsidRPr="00DB6FFF">
        <w:rPr>
          <w:rFonts w:ascii="Calibri" w:hAnsi="Calibri" w:cs="Calibri"/>
        </w:rPr>
        <w:lastRenderedPageBreak/>
        <w:t>Recommendations</w:t>
      </w:r>
      <w:r w:rsidR="001D0D27" w:rsidRPr="00DB6FFF">
        <w:rPr>
          <w:rFonts w:ascii="Calibri" w:hAnsi="Calibri" w:cs="Calibri"/>
        </w:rPr>
        <w:t xml:space="preserve"> for Establishing a Confidential, Non-Punitive</w:t>
      </w:r>
      <w:r w:rsidR="00F41B44">
        <w:rPr>
          <w:rFonts w:ascii="Calibri" w:hAnsi="Calibri" w:cs="Calibri"/>
        </w:rPr>
        <w:t>, Close</w:t>
      </w:r>
      <w:r w:rsidR="008D7209">
        <w:rPr>
          <w:rFonts w:ascii="Calibri" w:hAnsi="Calibri" w:cs="Calibri"/>
        </w:rPr>
        <w:t xml:space="preserve"> </w:t>
      </w:r>
      <w:r w:rsidR="00F41B44">
        <w:rPr>
          <w:rFonts w:ascii="Calibri" w:hAnsi="Calibri" w:cs="Calibri"/>
        </w:rPr>
        <w:t xml:space="preserve">Call </w:t>
      </w:r>
      <w:r w:rsidR="00422843">
        <w:rPr>
          <w:rFonts w:ascii="Calibri" w:hAnsi="Calibri" w:cs="Calibri"/>
        </w:rPr>
        <w:t xml:space="preserve">Safety </w:t>
      </w:r>
      <w:r w:rsidR="00F41B44">
        <w:rPr>
          <w:rFonts w:ascii="Calibri" w:hAnsi="Calibri" w:cs="Calibri"/>
        </w:rPr>
        <w:t>R</w:t>
      </w:r>
      <w:r w:rsidR="005B1383">
        <w:rPr>
          <w:rFonts w:ascii="Calibri" w:hAnsi="Calibri" w:cs="Calibri"/>
        </w:rPr>
        <w:t>eporting</w:t>
      </w:r>
      <w:r w:rsidR="00F41B44">
        <w:rPr>
          <w:rFonts w:ascii="Calibri" w:hAnsi="Calibri" w:cs="Calibri"/>
        </w:rPr>
        <w:t xml:space="preserve"> </w:t>
      </w:r>
      <w:r w:rsidR="001D0D27" w:rsidRPr="00DB6FFF">
        <w:rPr>
          <w:rFonts w:ascii="Calibri" w:hAnsi="Calibri" w:cs="Calibri"/>
        </w:rPr>
        <w:t>System</w:t>
      </w:r>
      <w:r w:rsidR="0058586B">
        <w:rPr>
          <w:rFonts w:ascii="Calibri" w:hAnsi="Calibri" w:cs="Calibri"/>
        </w:rPr>
        <w:t xml:space="preserve"> for the Rail Transit Industry</w:t>
      </w:r>
      <w:r w:rsidR="000C6A4B" w:rsidRPr="00DB6FFF">
        <w:rPr>
          <w:rStyle w:val="FootnoteReference"/>
          <w:rFonts w:ascii="Calibri" w:hAnsi="Calibri" w:cs="Calibri"/>
        </w:rPr>
        <w:footnoteReference w:id="3"/>
      </w:r>
      <w:bookmarkEnd w:id="58"/>
      <w:bookmarkEnd w:id="59"/>
    </w:p>
    <w:p w:rsidR="00A772A8" w:rsidRPr="00DB6FFF" w:rsidRDefault="00A772A8" w:rsidP="00C116FB">
      <w:pPr>
        <w:rPr>
          <w:rFonts w:cs="Calibri"/>
        </w:rPr>
      </w:pPr>
    </w:p>
    <w:p w:rsidR="00803C1E" w:rsidRDefault="00803C1E" w:rsidP="007310E6">
      <w:pPr>
        <w:pStyle w:val="ListParagraph"/>
        <w:numPr>
          <w:ilvl w:val="0"/>
          <w:numId w:val="4"/>
        </w:numPr>
        <w:rPr>
          <w:rFonts w:cs="Calibri"/>
        </w:rPr>
      </w:pPr>
      <w:r w:rsidRPr="00DB6FFF">
        <w:rPr>
          <w:rFonts w:cs="Calibri"/>
        </w:rPr>
        <w:t>FTA should support the establishment of a confidential</w:t>
      </w:r>
      <w:r w:rsidR="00F41B44">
        <w:rPr>
          <w:rFonts w:cs="Calibri"/>
        </w:rPr>
        <w:t xml:space="preserve">, </w:t>
      </w:r>
      <w:r w:rsidR="0063606D">
        <w:rPr>
          <w:rFonts w:cs="Calibri"/>
        </w:rPr>
        <w:t xml:space="preserve">non-punitive, </w:t>
      </w:r>
      <w:r w:rsidR="008D7209">
        <w:rPr>
          <w:rFonts w:cs="Calibri"/>
        </w:rPr>
        <w:t>close call</w:t>
      </w:r>
      <w:r w:rsidR="00422843">
        <w:rPr>
          <w:rFonts w:cs="Calibri"/>
        </w:rPr>
        <w:t xml:space="preserve"> safety</w:t>
      </w:r>
      <w:r w:rsidR="005B1383">
        <w:rPr>
          <w:rFonts w:cs="Calibri"/>
        </w:rPr>
        <w:t xml:space="preserve"> reporting</w:t>
      </w:r>
      <w:r w:rsidRPr="00DB6FFF">
        <w:rPr>
          <w:rFonts w:cs="Calibri"/>
        </w:rPr>
        <w:t xml:space="preserve"> system by forming an implementation work group comprised of stakeholder representatives tasked with establishing a pilot system</w:t>
      </w:r>
      <w:r w:rsidR="00172F4E">
        <w:rPr>
          <w:rFonts w:cs="Calibri"/>
        </w:rPr>
        <w:t>.</w:t>
      </w:r>
      <w:r w:rsidRPr="00DB6FFF">
        <w:rPr>
          <w:rFonts w:cs="Calibri"/>
        </w:rPr>
        <w:t xml:space="preserve"> </w:t>
      </w:r>
    </w:p>
    <w:p w:rsidR="006F6AE9" w:rsidRPr="00DB6FFF" w:rsidRDefault="006F6AE9" w:rsidP="006F6AE9">
      <w:pPr>
        <w:pStyle w:val="ListParagraph"/>
        <w:rPr>
          <w:rFonts w:cs="Calibri"/>
        </w:rPr>
      </w:pPr>
    </w:p>
    <w:p w:rsidR="001D0D27" w:rsidRPr="00DB6FFF" w:rsidRDefault="00993CAC" w:rsidP="007310E6">
      <w:pPr>
        <w:pStyle w:val="ListParagraph"/>
        <w:numPr>
          <w:ilvl w:val="0"/>
          <w:numId w:val="4"/>
        </w:numPr>
        <w:rPr>
          <w:rFonts w:cs="Calibri"/>
        </w:rPr>
      </w:pPr>
      <w:r>
        <w:rPr>
          <w:rFonts w:cs="Calibri"/>
        </w:rPr>
        <w:t>FTA should e</w:t>
      </w:r>
      <w:r w:rsidR="00AE50E7">
        <w:rPr>
          <w:rFonts w:cs="Calibri"/>
        </w:rPr>
        <w:t>stablish a pilot s</w:t>
      </w:r>
      <w:r w:rsidR="001D0D27" w:rsidRPr="00DB6FFF">
        <w:rPr>
          <w:rFonts w:cs="Calibri"/>
        </w:rPr>
        <w:t xml:space="preserve">ystem </w:t>
      </w:r>
      <w:r>
        <w:rPr>
          <w:rFonts w:cs="Calibri"/>
        </w:rPr>
        <w:t>and perform the following:</w:t>
      </w:r>
    </w:p>
    <w:p w:rsidR="001D0D27" w:rsidRPr="00DB6FFF" w:rsidRDefault="001D0D27" w:rsidP="007310E6">
      <w:pPr>
        <w:pStyle w:val="ListParagraph"/>
        <w:numPr>
          <w:ilvl w:val="1"/>
          <w:numId w:val="4"/>
        </w:numPr>
        <w:rPr>
          <w:rFonts w:cs="Calibri"/>
        </w:rPr>
      </w:pPr>
      <w:r w:rsidRPr="00DB6FFF">
        <w:rPr>
          <w:rFonts w:cs="Calibri"/>
        </w:rPr>
        <w:t xml:space="preserve">Negotiate </w:t>
      </w:r>
      <w:r w:rsidR="003A044A" w:rsidRPr="00DB6FFF">
        <w:rPr>
          <w:rFonts w:cs="Calibri"/>
        </w:rPr>
        <w:t xml:space="preserve">an </w:t>
      </w:r>
      <w:r w:rsidR="008B5D78">
        <w:rPr>
          <w:rFonts w:cs="Calibri"/>
        </w:rPr>
        <w:t xml:space="preserve">implementing </w:t>
      </w:r>
      <w:r w:rsidR="003A044A" w:rsidRPr="00DB6FFF">
        <w:rPr>
          <w:rFonts w:cs="Calibri"/>
        </w:rPr>
        <w:t xml:space="preserve">MOU between labor, management, FTA, </w:t>
      </w:r>
      <w:r w:rsidR="00172F4E">
        <w:rPr>
          <w:rFonts w:cs="Calibri"/>
        </w:rPr>
        <w:t>an</w:t>
      </w:r>
      <w:r w:rsidR="00993CAC">
        <w:rPr>
          <w:rFonts w:cs="Calibri"/>
        </w:rPr>
        <w:t xml:space="preserve"> independent third-party agency, </w:t>
      </w:r>
      <w:r w:rsidR="003A044A" w:rsidRPr="00DB6FFF">
        <w:rPr>
          <w:rFonts w:cs="Calibri"/>
        </w:rPr>
        <w:t>and SSOs</w:t>
      </w:r>
      <w:r w:rsidR="003F66B0" w:rsidRPr="00DB6FFF">
        <w:rPr>
          <w:rFonts w:cs="Calibri"/>
        </w:rPr>
        <w:t xml:space="preserve"> as necessary</w:t>
      </w:r>
      <w:r w:rsidR="0027083F">
        <w:rPr>
          <w:rFonts w:cs="Calibri"/>
        </w:rPr>
        <w:t>,</w:t>
      </w:r>
      <w:r w:rsidR="000C6A4B" w:rsidRPr="00DB6FFF">
        <w:rPr>
          <w:rFonts w:cs="Calibri"/>
        </w:rPr>
        <w:t xml:space="preserve"> at three to six transit agencies</w:t>
      </w:r>
      <w:r w:rsidR="00172F4E">
        <w:rPr>
          <w:rFonts w:cs="Calibri"/>
        </w:rPr>
        <w:t>.</w:t>
      </w:r>
    </w:p>
    <w:p w:rsidR="001D0D27" w:rsidRPr="00DB6FFF" w:rsidRDefault="001D0D27" w:rsidP="007310E6">
      <w:pPr>
        <w:pStyle w:val="ListParagraph"/>
        <w:numPr>
          <w:ilvl w:val="1"/>
          <w:numId w:val="4"/>
        </w:numPr>
        <w:rPr>
          <w:rFonts w:cs="Calibri"/>
        </w:rPr>
      </w:pPr>
      <w:r w:rsidRPr="00DB6FFF">
        <w:rPr>
          <w:rFonts w:cs="Calibri"/>
        </w:rPr>
        <w:t xml:space="preserve">Provide assurances </w:t>
      </w:r>
      <w:r w:rsidR="00F41B44">
        <w:rPr>
          <w:rFonts w:cs="Calibri"/>
        </w:rPr>
        <w:t>that</w:t>
      </w:r>
      <w:r w:rsidRPr="00DB6FFF">
        <w:rPr>
          <w:rFonts w:cs="Calibri"/>
        </w:rPr>
        <w:t xml:space="preserve"> the</w:t>
      </w:r>
      <w:r w:rsidR="00C86D30">
        <w:rPr>
          <w:rFonts w:cs="Calibri"/>
        </w:rPr>
        <w:t xml:space="preserve"> </w:t>
      </w:r>
      <w:r w:rsidR="008D7209">
        <w:rPr>
          <w:rFonts w:cs="Calibri"/>
        </w:rPr>
        <w:t>close call</w:t>
      </w:r>
      <w:r w:rsidR="005B1383">
        <w:rPr>
          <w:rFonts w:cs="Calibri"/>
        </w:rPr>
        <w:t xml:space="preserve"> </w:t>
      </w:r>
      <w:r w:rsidR="00422843">
        <w:rPr>
          <w:rFonts w:cs="Calibri"/>
        </w:rPr>
        <w:t xml:space="preserve">safety </w:t>
      </w:r>
      <w:r w:rsidR="005B1383">
        <w:rPr>
          <w:rFonts w:cs="Calibri"/>
        </w:rPr>
        <w:t>reporting</w:t>
      </w:r>
      <w:r w:rsidRPr="00DB6FFF">
        <w:rPr>
          <w:rFonts w:cs="Calibri"/>
        </w:rPr>
        <w:t xml:space="preserve"> system </w:t>
      </w:r>
      <w:r w:rsidR="00F41B44">
        <w:rPr>
          <w:rFonts w:cs="Calibri"/>
        </w:rPr>
        <w:t>will</w:t>
      </w:r>
      <w:r w:rsidR="00E51747" w:rsidRPr="00DB6FFF">
        <w:rPr>
          <w:rFonts w:cs="Calibri"/>
        </w:rPr>
        <w:t xml:space="preserve"> be voluntary, non-punitive</w:t>
      </w:r>
      <w:r w:rsidR="00C86D30">
        <w:rPr>
          <w:rFonts w:cs="Calibri"/>
        </w:rPr>
        <w:t xml:space="preserve"> and </w:t>
      </w:r>
      <w:r w:rsidRPr="00DB6FFF">
        <w:rPr>
          <w:rFonts w:cs="Calibri"/>
        </w:rPr>
        <w:t>confidential</w:t>
      </w:r>
      <w:r w:rsidR="004E1D73">
        <w:rPr>
          <w:rFonts w:cs="Calibri"/>
        </w:rPr>
        <w:t>, and</w:t>
      </w:r>
      <w:r w:rsidR="00C86D30">
        <w:rPr>
          <w:rFonts w:cs="Calibri"/>
        </w:rPr>
        <w:t xml:space="preserve"> provide </w:t>
      </w:r>
      <w:r w:rsidR="00E51747" w:rsidRPr="00DB6FFF">
        <w:rPr>
          <w:rFonts w:cs="Calibri"/>
        </w:rPr>
        <w:t>protect</w:t>
      </w:r>
      <w:r w:rsidR="00C86D30">
        <w:rPr>
          <w:rFonts w:cs="Calibri"/>
        </w:rPr>
        <w:t>ion</w:t>
      </w:r>
      <w:r w:rsidR="00E51747" w:rsidRPr="00DB6FFF">
        <w:rPr>
          <w:rFonts w:cs="Calibri"/>
        </w:rPr>
        <w:t xml:space="preserve"> from </w:t>
      </w:r>
      <w:r w:rsidR="00CD6964" w:rsidRPr="00DB6FFF">
        <w:rPr>
          <w:rFonts w:cs="Calibri"/>
        </w:rPr>
        <w:t>FOIA,</w:t>
      </w:r>
      <w:r w:rsidR="00774382" w:rsidRPr="00DB6FFF">
        <w:rPr>
          <w:rFonts w:cs="Calibri"/>
        </w:rPr>
        <w:t xml:space="preserve"> </w:t>
      </w:r>
      <w:r w:rsidR="008B5D78">
        <w:rPr>
          <w:rFonts w:cs="Calibri"/>
        </w:rPr>
        <w:t>S</w:t>
      </w:r>
      <w:r w:rsidR="00774382" w:rsidRPr="00DB6FFF">
        <w:rPr>
          <w:rFonts w:cs="Calibri"/>
        </w:rPr>
        <w:t>tate public records laws</w:t>
      </w:r>
      <w:r w:rsidR="00AE5D7A">
        <w:rPr>
          <w:rFonts w:cs="Calibri"/>
        </w:rPr>
        <w:t>,</w:t>
      </w:r>
      <w:r w:rsidR="00774382" w:rsidRPr="00DB6FFF">
        <w:rPr>
          <w:rFonts w:cs="Calibri"/>
        </w:rPr>
        <w:t xml:space="preserve"> </w:t>
      </w:r>
      <w:r w:rsidR="00E51747" w:rsidRPr="00DB6FFF">
        <w:rPr>
          <w:rFonts w:cs="Calibri"/>
        </w:rPr>
        <w:t>and legal discovery for all participating stakeholders</w:t>
      </w:r>
      <w:r w:rsidR="00172F4E">
        <w:rPr>
          <w:rFonts w:cs="Calibri"/>
        </w:rPr>
        <w:t>.</w:t>
      </w:r>
    </w:p>
    <w:p w:rsidR="001D0D27" w:rsidRPr="00DB6FFF" w:rsidRDefault="001D0D27" w:rsidP="007310E6">
      <w:pPr>
        <w:pStyle w:val="ListParagraph"/>
        <w:numPr>
          <w:ilvl w:val="1"/>
          <w:numId w:val="4"/>
        </w:numPr>
        <w:rPr>
          <w:rFonts w:cs="Calibri"/>
        </w:rPr>
      </w:pPr>
      <w:r w:rsidRPr="00DB6FFF">
        <w:rPr>
          <w:rFonts w:cs="Calibri"/>
        </w:rPr>
        <w:t xml:space="preserve">Recruit </w:t>
      </w:r>
      <w:r w:rsidR="002A5497">
        <w:rPr>
          <w:rFonts w:cs="Calibri"/>
        </w:rPr>
        <w:t xml:space="preserve">and fund </w:t>
      </w:r>
      <w:r w:rsidRPr="00DB6FFF">
        <w:rPr>
          <w:rFonts w:cs="Calibri"/>
        </w:rPr>
        <w:t xml:space="preserve">a non-biased third party to manage </w:t>
      </w:r>
      <w:r w:rsidR="00C86D30">
        <w:rPr>
          <w:rFonts w:cs="Calibri"/>
        </w:rPr>
        <w:t xml:space="preserve">the </w:t>
      </w:r>
      <w:r w:rsidRPr="00DB6FFF">
        <w:rPr>
          <w:rFonts w:cs="Calibri"/>
        </w:rPr>
        <w:t xml:space="preserve">pilot </w:t>
      </w:r>
      <w:r w:rsidR="000C6A4B" w:rsidRPr="00DB6FFF">
        <w:rPr>
          <w:rFonts w:cs="Calibri"/>
        </w:rPr>
        <w:t xml:space="preserve">reporting </w:t>
      </w:r>
      <w:r w:rsidRPr="00DB6FFF">
        <w:rPr>
          <w:rFonts w:cs="Calibri"/>
        </w:rPr>
        <w:t xml:space="preserve">system and assign </w:t>
      </w:r>
      <w:r w:rsidR="00C86D30">
        <w:rPr>
          <w:rFonts w:cs="Calibri"/>
        </w:rPr>
        <w:t xml:space="preserve">the </w:t>
      </w:r>
      <w:r w:rsidRPr="00DB6FFF">
        <w:rPr>
          <w:rFonts w:cs="Calibri"/>
        </w:rPr>
        <w:t>role</w:t>
      </w:r>
      <w:r w:rsidR="00172F4E">
        <w:rPr>
          <w:rFonts w:cs="Calibri"/>
        </w:rPr>
        <w:t>s</w:t>
      </w:r>
      <w:r w:rsidRPr="00DB6FFF">
        <w:rPr>
          <w:rFonts w:cs="Calibri"/>
        </w:rPr>
        <w:t xml:space="preserve"> of system liaison and support staff</w:t>
      </w:r>
      <w:r w:rsidR="00172F4E">
        <w:rPr>
          <w:rFonts w:cs="Calibri"/>
        </w:rPr>
        <w:t>.</w:t>
      </w:r>
    </w:p>
    <w:p w:rsidR="001D0D27" w:rsidRPr="00DB6FFF" w:rsidRDefault="001D0D27" w:rsidP="007310E6">
      <w:pPr>
        <w:pStyle w:val="ListParagraph"/>
        <w:numPr>
          <w:ilvl w:val="1"/>
          <w:numId w:val="4"/>
        </w:numPr>
        <w:rPr>
          <w:rFonts w:cs="Calibri"/>
        </w:rPr>
      </w:pPr>
      <w:r w:rsidRPr="00DB6FFF">
        <w:rPr>
          <w:rFonts w:cs="Calibri"/>
        </w:rPr>
        <w:t>Identify</w:t>
      </w:r>
      <w:r w:rsidR="004103BE">
        <w:rPr>
          <w:rFonts w:cs="Calibri"/>
        </w:rPr>
        <w:t xml:space="preserve"> or </w:t>
      </w:r>
      <w:r w:rsidRPr="00DB6FFF">
        <w:rPr>
          <w:rFonts w:cs="Calibri"/>
        </w:rPr>
        <w:t>develop data collection and analysis software</w:t>
      </w:r>
      <w:r w:rsidR="000C6A4B" w:rsidRPr="00DB6FFF">
        <w:rPr>
          <w:rFonts w:cs="Calibri"/>
        </w:rPr>
        <w:t xml:space="preserve"> </w:t>
      </w:r>
      <w:r w:rsidR="004103BE">
        <w:rPr>
          <w:rFonts w:cs="Calibri"/>
        </w:rPr>
        <w:t xml:space="preserve">and </w:t>
      </w:r>
      <w:r w:rsidR="000C6A4B" w:rsidRPr="00DB6FFF">
        <w:rPr>
          <w:rFonts w:cs="Calibri"/>
        </w:rPr>
        <w:t>methodology</w:t>
      </w:r>
      <w:r w:rsidR="004103BE">
        <w:rPr>
          <w:rFonts w:cs="Calibri"/>
        </w:rPr>
        <w:t>.</w:t>
      </w:r>
    </w:p>
    <w:p w:rsidR="00F41B44" w:rsidRDefault="001D0D27" w:rsidP="00F41B44">
      <w:pPr>
        <w:pStyle w:val="ListParagraph"/>
        <w:numPr>
          <w:ilvl w:val="1"/>
          <w:numId w:val="4"/>
        </w:numPr>
        <w:rPr>
          <w:rFonts w:cs="Calibri"/>
        </w:rPr>
      </w:pPr>
      <w:r w:rsidRPr="00F41B44">
        <w:rPr>
          <w:rFonts w:cs="Calibri"/>
        </w:rPr>
        <w:t xml:space="preserve">Assemble </w:t>
      </w:r>
      <w:r w:rsidR="004103BE" w:rsidRPr="00F41B44">
        <w:rPr>
          <w:rFonts w:cs="Calibri"/>
        </w:rPr>
        <w:t xml:space="preserve">a PRT </w:t>
      </w:r>
      <w:r w:rsidR="00DB3FEF">
        <w:rPr>
          <w:rFonts w:cs="Calibri"/>
        </w:rPr>
        <w:t>at each pilot site.</w:t>
      </w:r>
    </w:p>
    <w:p w:rsidR="001D0D27" w:rsidRPr="00F41B44" w:rsidRDefault="001D0D27" w:rsidP="00F41B44">
      <w:pPr>
        <w:pStyle w:val="ListParagraph"/>
        <w:numPr>
          <w:ilvl w:val="1"/>
          <w:numId w:val="4"/>
        </w:numPr>
        <w:rPr>
          <w:rFonts w:cs="Calibri"/>
        </w:rPr>
      </w:pPr>
      <w:r w:rsidRPr="00F41B44">
        <w:rPr>
          <w:rFonts w:cs="Calibri"/>
        </w:rPr>
        <w:t xml:space="preserve">Provide </w:t>
      </w:r>
      <w:r w:rsidR="004576A2">
        <w:rPr>
          <w:rFonts w:cs="Calibri"/>
        </w:rPr>
        <w:t xml:space="preserve">PRT members with </w:t>
      </w:r>
      <w:r w:rsidR="00F41B44">
        <w:rPr>
          <w:rFonts w:cs="Calibri"/>
        </w:rPr>
        <w:t xml:space="preserve">appropriate training in hazard analysis </w:t>
      </w:r>
      <w:r w:rsidRPr="00F41B44">
        <w:rPr>
          <w:rFonts w:cs="Calibri"/>
        </w:rPr>
        <w:t xml:space="preserve">prior to rollout of </w:t>
      </w:r>
      <w:r w:rsidR="004103BE" w:rsidRPr="00F41B44">
        <w:rPr>
          <w:rFonts w:cs="Calibri"/>
        </w:rPr>
        <w:t xml:space="preserve">the </w:t>
      </w:r>
      <w:r w:rsidRPr="00F41B44">
        <w:rPr>
          <w:rFonts w:cs="Calibri"/>
        </w:rPr>
        <w:t>pilot</w:t>
      </w:r>
      <w:r w:rsidR="004103BE" w:rsidRPr="00F41B44">
        <w:rPr>
          <w:rFonts w:cs="Calibri"/>
        </w:rPr>
        <w:t>s.</w:t>
      </w:r>
    </w:p>
    <w:p w:rsidR="001D0D27" w:rsidRPr="00DB6FFF" w:rsidRDefault="00993CAC" w:rsidP="007310E6">
      <w:pPr>
        <w:pStyle w:val="ListParagraph"/>
        <w:numPr>
          <w:ilvl w:val="1"/>
          <w:numId w:val="4"/>
        </w:numPr>
        <w:rPr>
          <w:rFonts w:cs="Calibri"/>
        </w:rPr>
      </w:pPr>
      <w:r>
        <w:rPr>
          <w:rFonts w:cs="Calibri"/>
        </w:rPr>
        <w:t>Implement the p</w:t>
      </w:r>
      <w:r w:rsidR="003A044A" w:rsidRPr="00DB6FFF">
        <w:rPr>
          <w:rFonts w:cs="Calibri"/>
        </w:rPr>
        <w:t xml:space="preserve">ilot system </w:t>
      </w:r>
      <w:r>
        <w:rPr>
          <w:rFonts w:cs="Calibri"/>
        </w:rPr>
        <w:t xml:space="preserve">at </w:t>
      </w:r>
      <w:r w:rsidR="003A044A" w:rsidRPr="00DB6FFF">
        <w:rPr>
          <w:rFonts w:cs="Calibri"/>
        </w:rPr>
        <w:t xml:space="preserve">three to six </w:t>
      </w:r>
      <w:r w:rsidR="001D0D27" w:rsidRPr="00DB6FFF">
        <w:rPr>
          <w:rFonts w:cs="Calibri"/>
        </w:rPr>
        <w:t>transit agencies</w:t>
      </w:r>
      <w:r w:rsidR="003A044A" w:rsidRPr="00DB6FFF">
        <w:rPr>
          <w:rFonts w:cs="Calibri"/>
        </w:rPr>
        <w:t xml:space="preserve"> for </w:t>
      </w:r>
      <w:r>
        <w:rPr>
          <w:rFonts w:cs="Calibri"/>
        </w:rPr>
        <w:t xml:space="preserve">a minimum of </w:t>
      </w:r>
      <w:r w:rsidR="003A044A" w:rsidRPr="00DB6FFF">
        <w:rPr>
          <w:rFonts w:cs="Calibri"/>
        </w:rPr>
        <w:t>3 years</w:t>
      </w:r>
      <w:r w:rsidR="004103BE">
        <w:rPr>
          <w:rFonts w:cs="Calibri"/>
        </w:rPr>
        <w:t>.</w:t>
      </w:r>
    </w:p>
    <w:p w:rsidR="001D0D27" w:rsidRPr="00DB6FFF" w:rsidRDefault="001D0D27" w:rsidP="007310E6">
      <w:pPr>
        <w:pStyle w:val="ListParagraph"/>
        <w:numPr>
          <w:ilvl w:val="1"/>
          <w:numId w:val="4"/>
        </w:numPr>
        <w:rPr>
          <w:rFonts w:cs="Calibri"/>
        </w:rPr>
      </w:pPr>
      <w:r w:rsidRPr="00DB6FFF">
        <w:rPr>
          <w:rFonts w:cs="Calibri"/>
        </w:rPr>
        <w:t>Refine report taxonomy based on initial reports</w:t>
      </w:r>
      <w:r w:rsidR="004103BE">
        <w:rPr>
          <w:rFonts w:cs="Calibri"/>
        </w:rPr>
        <w:t>.</w:t>
      </w:r>
    </w:p>
    <w:p w:rsidR="00F149DF" w:rsidRDefault="00F149DF" w:rsidP="007310E6">
      <w:pPr>
        <w:pStyle w:val="ListParagraph"/>
        <w:numPr>
          <w:ilvl w:val="1"/>
          <w:numId w:val="4"/>
        </w:numPr>
        <w:rPr>
          <w:rFonts w:cs="Calibri"/>
        </w:rPr>
      </w:pPr>
      <w:r>
        <w:rPr>
          <w:rFonts w:cs="Calibri"/>
        </w:rPr>
        <w:t>Develop criteria and outcome measures for the pilot program</w:t>
      </w:r>
      <w:r w:rsidR="008B5D78">
        <w:rPr>
          <w:rFonts w:cs="Calibri"/>
        </w:rPr>
        <w:t>.</w:t>
      </w:r>
    </w:p>
    <w:p w:rsidR="001D0D27" w:rsidRDefault="001D0D27" w:rsidP="007310E6">
      <w:pPr>
        <w:pStyle w:val="ListParagraph"/>
        <w:numPr>
          <w:ilvl w:val="1"/>
          <w:numId w:val="4"/>
        </w:numPr>
        <w:rPr>
          <w:rFonts w:cs="Calibri"/>
        </w:rPr>
      </w:pPr>
      <w:r w:rsidRPr="00DB6FFF">
        <w:rPr>
          <w:rFonts w:cs="Calibri"/>
        </w:rPr>
        <w:t>Evaluate</w:t>
      </w:r>
      <w:r w:rsidR="00E51747" w:rsidRPr="00DB6FFF">
        <w:rPr>
          <w:rFonts w:cs="Calibri"/>
        </w:rPr>
        <w:t xml:space="preserve"> pilot </w:t>
      </w:r>
      <w:r w:rsidRPr="00DB6FFF">
        <w:rPr>
          <w:rFonts w:cs="Calibri"/>
        </w:rPr>
        <w:t>success</w:t>
      </w:r>
      <w:r w:rsidR="00E51747" w:rsidRPr="00DB6FFF">
        <w:rPr>
          <w:rFonts w:cs="Calibri"/>
        </w:rPr>
        <w:t xml:space="preserve"> by independent review</w:t>
      </w:r>
      <w:r w:rsidR="00774382" w:rsidRPr="00DB6FFF">
        <w:rPr>
          <w:rFonts w:cs="Calibri"/>
        </w:rPr>
        <w:t xml:space="preserve"> (</w:t>
      </w:r>
      <w:r w:rsidR="00C86D30">
        <w:rPr>
          <w:rFonts w:cs="Calibri"/>
        </w:rPr>
        <w:t>ensuring the reviewer has confidential and appropriate access to the data</w:t>
      </w:r>
      <w:r w:rsidR="00774382" w:rsidRPr="00DB6FFF">
        <w:rPr>
          <w:rFonts w:cs="Calibri"/>
        </w:rPr>
        <w:t>)</w:t>
      </w:r>
      <w:r w:rsidR="00C86D30">
        <w:rPr>
          <w:rFonts w:cs="Calibri"/>
        </w:rPr>
        <w:t>.</w:t>
      </w:r>
    </w:p>
    <w:p w:rsidR="007C7AA6" w:rsidRDefault="00FB2C54" w:rsidP="004E264E">
      <w:pPr>
        <w:pStyle w:val="ListParagraph"/>
        <w:numPr>
          <w:ilvl w:val="1"/>
          <w:numId w:val="4"/>
        </w:numPr>
        <w:rPr>
          <w:rFonts w:cs="Calibri"/>
        </w:rPr>
      </w:pPr>
      <w:r w:rsidRPr="00AE5D7A">
        <w:rPr>
          <w:rFonts w:cs="Calibri"/>
        </w:rPr>
        <w:t>At least annually,</w:t>
      </w:r>
      <w:r w:rsidR="00993CAC" w:rsidRPr="00AE5D7A">
        <w:rPr>
          <w:rFonts w:cs="Calibri"/>
        </w:rPr>
        <w:t xml:space="preserve"> </w:t>
      </w:r>
      <w:r w:rsidR="0058218D">
        <w:rPr>
          <w:rFonts w:cs="Calibri"/>
        </w:rPr>
        <w:t xml:space="preserve">FTA should </w:t>
      </w:r>
      <w:r w:rsidR="00993CAC" w:rsidRPr="00AE5D7A">
        <w:rPr>
          <w:rFonts w:cs="Calibri"/>
        </w:rPr>
        <w:t xml:space="preserve">prepare and distribute </w:t>
      </w:r>
      <w:r w:rsidR="0058218D">
        <w:rPr>
          <w:rFonts w:cs="Calibri"/>
        </w:rPr>
        <w:t xml:space="preserve">a report containing </w:t>
      </w:r>
      <w:r w:rsidR="004103BE" w:rsidRPr="00AE5D7A">
        <w:rPr>
          <w:rFonts w:cs="Calibri"/>
        </w:rPr>
        <w:t>de-identified</w:t>
      </w:r>
      <w:r w:rsidR="00993CAC" w:rsidRPr="00AE5D7A">
        <w:rPr>
          <w:rFonts w:cs="Calibri"/>
        </w:rPr>
        <w:t xml:space="preserve"> trend data observed at pilot sites </w:t>
      </w:r>
      <w:r w:rsidR="002B07A0">
        <w:rPr>
          <w:rFonts w:cs="Calibri"/>
        </w:rPr>
        <w:t>to stakeholders throughout the rail transit industry, including RTAs, labor, and equipment manufacturers</w:t>
      </w:r>
      <w:r w:rsidR="004E1D73" w:rsidRPr="00AE5D7A">
        <w:rPr>
          <w:rFonts w:cs="Calibri"/>
        </w:rPr>
        <w:t xml:space="preserve">. </w:t>
      </w:r>
      <w:r w:rsidR="00993CAC" w:rsidRPr="00AE5D7A">
        <w:rPr>
          <w:rFonts w:cs="Calibri"/>
        </w:rPr>
        <w:t xml:space="preserve">The trend data should include the types of incidents being reported and the measures taken by RTAs to correct </w:t>
      </w:r>
      <w:r w:rsidR="004103BE" w:rsidRPr="00AE5D7A">
        <w:rPr>
          <w:rFonts w:cs="Calibri"/>
        </w:rPr>
        <w:t>reported</w:t>
      </w:r>
      <w:r w:rsidR="00993CAC" w:rsidRPr="00AE5D7A">
        <w:rPr>
          <w:rFonts w:cs="Calibri"/>
        </w:rPr>
        <w:t xml:space="preserve"> incidents.</w:t>
      </w:r>
      <w:r w:rsidR="008B5D78" w:rsidRPr="00AE5D7A">
        <w:rPr>
          <w:rFonts w:cs="Calibri"/>
        </w:rPr>
        <w:t xml:space="preserve"> </w:t>
      </w:r>
      <w:r w:rsidR="002B07A0">
        <w:rPr>
          <w:rFonts w:cs="Calibri"/>
        </w:rPr>
        <w:t xml:space="preserve">FTA should also request this information from any RTAs which have established independent </w:t>
      </w:r>
      <w:r w:rsidR="00164111">
        <w:rPr>
          <w:rFonts w:cs="Calibri"/>
        </w:rPr>
        <w:t xml:space="preserve">close </w:t>
      </w:r>
      <w:r w:rsidR="002B07A0">
        <w:rPr>
          <w:rFonts w:cs="Calibri"/>
        </w:rPr>
        <w:t xml:space="preserve">call safety reporting systems which are not participants in the pilot system, for inclusion in these </w:t>
      </w:r>
      <w:r w:rsidR="0058218D">
        <w:rPr>
          <w:rFonts w:cs="Calibri"/>
        </w:rPr>
        <w:t>reports</w:t>
      </w:r>
      <w:r w:rsidR="002B07A0">
        <w:rPr>
          <w:rFonts w:cs="Calibri"/>
        </w:rPr>
        <w:t>.</w:t>
      </w:r>
    </w:p>
    <w:p w:rsidR="00F75508" w:rsidRPr="00DB6FFF" w:rsidRDefault="00F75508" w:rsidP="00F75508">
      <w:pPr>
        <w:pStyle w:val="ListParagraph"/>
        <w:numPr>
          <w:ilvl w:val="0"/>
          <w:numId w:val="4"/>
        </w:numPr>
        <w:rPr>
          <w:rFonts w:cs="Calibri"/>
        </w:rPr>
      </w:pPr>
      <w:r>
        <w:rPr>
          <w:rFonts w:cs="Calibri"/>
        </w:rPr>
        <w:lastRenderedPageBreak/>
        <w:t>Each pilot program should develop a communication</w:t>
      </w:r>
      <w:r w:rsidR="009331AF">
        <w:rPr>
          <w:rFonts w:cs="Calibri"/>
        </w:rPr>
        <w:t>s</w:t>
      </w:r>
      <w:r>
        <w:rPr>
          <w:rFonts w:cs="Calibri"/>
        </w:rPr>
        <w:t xml:space="preserve"> plan to disseminate analysis </w:t>
      </w:r>
      <w:r w:rsidRPr="00DB6FFF">
        <w:rPr>
          <w:rFonts w:cs="Calibri"/>
        </w:rPr>
        <w:t>results and management follow</w:t>
      </w:r>
      <w:r>
        <w:rPr>
          <w:rFonts w:cs="Calibri"/>
        </w:rPr>
        <w:t>-</w:t>
      </w:r>
      <w:r w:rsidRPr="00DB6FFF">
        <w:rPr>
          <w:rFonts w:cs="Calibri"/>
        </w:rPr>
        <w:t xml:space="preserve">up </w:t>
      </w:r>
      <w:r>
        <w:rPr>
          <w:rFonts w:cs="Calibri"/>
        </w:rPr>
        <w:t>actions</w:t>
      </w:r>
      <w:r w:rsidRPr="00DB6FFF">
        <w:rPr>
          <w:rFonts w:cs="Calibri"/>
        </w:rPr>
        <w:t xml:space="preserve"> </w:t>
      </w:r>
      <w:r>
        <w:rPr>
          <w:rFonts w:cs="Calibri"/>
        </w:rPr>
        <w:t>between all signatories of the implementing MOU.</w:t>
      </w:r>
    </w:p>
    <w:p w:rsidR="00F75508" w:rsidRPr="00DB6FFF" w:rsidRDefault="00F75508" w:rsidP="00F75508">
      <w:pPr>
        <w:pStyle w:val="ListParagraph"/>
        <w:numPr>
          <w:ilvl w:val="1"/>
          <w:numId w:val="4"/>
        </w:numPr>
        <w:rPr>
          <w:rFonts w:cs="Calibri"/>
        </w:rPr>
      </w:pPr>
      <w:r w:rsidRPr="00DB6FFF">
        <w:rPr>
          <w:rFonts w:cs="Calibri"/>
        </w:rPr>
        <w:t>Provide timely follow-up to reporting employee</w:t>
      </w:r>
      <w:r>
        <w:rPr>
          <w:rFonts w:cs="Calibri"/>
        </w:rPr>
        <w:t>s.</w:t>
      </w:r>
    </w:p>
    <w:p w:rsidR="00F75508" w:rsidRPr="00DB6FFF" w:rsidRDefault="00F75508" w:rsidP="00F75508">
      <w:pPr>
        <w:pStyle w:val="ListParagraph"/>
        <w:numPr>
          <w:ilvl w:val="1"/>
          <w:numId w:val="4"/>
        </w:numPr>
        <w:rPr>
          <w:rFonts w:cs="Calibri"/>
        </w:rPr>
      </w:pPr>
      <w:r w:rsidRPr="00DB6FFF">
        <w:rPr>
          <w:rFonts w:cs="Calibri"/>
        </w:rPr>
        <w:t xml:space="preserve">Conduct analyses </w:t>
      </w:r>
      <w:r>
        <w:rPr>
          <w:rFonts w:cs="Calibri"/>
        </w:rPr>
        <w:t xml:space="preserve">of reports </w:t>
      </w:r>
      <w:r w:rsidRPr="00DB6FFF">
        <w:rPr>
          <w:rFonts w:cs="Calibri"/>
        </w:rPr>
        <w:t>and distribute to management and employees</w:t>
      </w:r>
      <w:r>
        <w:rPr>
          <w:rFonts w:cs="Calibri"/>
        </w:rPr>
        <w:t>.</w:t>
      </w:r>
    </w:p>
    <w:p w:rsidR="00F75508" w:rsidRPr="00DB6FFF" w:rsidRDefault="00F75508" w:rsidP="00F75508">
      <w:pPr>
        <w:pStyle w:val="ListParagraph"/>
        <w:numPr>
          <w:ilvl w:val="1"/>
          <w:numId w:val="4"/>
        </w:numPr>
        <w:rPr>
          <w:rFonts w:cs="Calibri"/>
        </w:rPr>
      </w:pPr>
      <w:r>
        <w:rPr>
          <w:rFonts w:cs="Calibri"/>
        </w:rPr>
        <w:t>Issue n</w:t>
      </w:r>
      <w:r w:rsidRPr="00DB6FFF">
        <w:rPr>
          <w:rFonts w:cs="Calibri"/>
        </w:rPr>
        <w:t>ewsletters</w:t>
      </w:r>
      <w:r>
        <w:rPr>
          <w:rFonts w:cs="Calibri"/>
        </w:rPr>
        <w:t xml:space="preserve"> on a periodic basis for employees at the pilot sites informing them of the progress and status of the reporting system. </w:t>
      </w:r>
    </w:p>
    <w:p w:rsidR="00F75508" w:rsidRDefault="00F75508" w:rsidP="00F75508">
      <w:pPr>
        <w:pStyle w:val="ListParagraph"/>
        <w:numPr>
          <w:ilvl w:val="1"/>
          <w:numId w:val="4"/>
        </w:numPr>
        <w:rPr>
          <w:rFonts w:cs="Calibri"/>
        </w:rPr>
      </w:pPr>
      <w:r w:rsidRPr="00DB6FFF">
        <w:rPr>
          <w:rFonts w:cs="Calibri"/>
        </w:rPr>
        <w:t>Use reports as tools for training</w:t>
      </w:r>
      <w:r>
        <w:rPr>
          <w:rFonts w:cs="Calibri"/>
        </w:rPr>
        <w:t>.</w:t>
      </w:r>
    </w:p>
    <w:p w:rsidR="00F75508" w:rsidRPr="004E264E" w:rsidRDefault="00F75508" w:rsidP="00947533">
      <w:pPr>
        <w:pStyle w:val="ListParagraph"/>
        <w:ind w:left="0"/>
        <w:rPr>
          <w:rFonts w:cs="Calibri"/>
        </w:rPr>
      </w:pPr>
    </w:p>
    <w:p w:rsidR="007C7AA6" w:rsidRDefault="00F80833" w:rsidP="00D56DA0">
      <w:pPr>
        <w:pStyle w:val="ListParagraph"/>
        <w:numPr>
          <w:ilvl w:val="0"/>
          <w:numId w:val="4"/>
        </w:numPr>
        <w:rPr>
          <w:rFonts w:cs="Calibri"/>
        </w:rPr>
      </w:pPr>
      <w:r>
        <w:rPr>
          <w:rFonts w:cs="Calibri"/>
        </w:rPr>
        <w:t xml:space="preserve">At the conclusion of the pilot, </w:t>
      </w:r>
      <w:r w:rsidR="00803C1E" w:rsidRPr="00DB6FFF">
        <w:rPr>
          <w:rFonts w:cs="Calibri"/>
        </w:rPr>
        <w:t xml:space="preserve">FTA should </w:t>
      </w:r>
      <w:r>
        <w:rPr>
          <w:rFonts w:cs="Calibri"/>
        </w:rPr>
        <w:t xml:space="preserve">publish a final report describing the outcome of the pilot. If the pilot is deemed successful, FTA should </w:t>
      </w:r>
      <w:r w:rsidR="001B4DC2">
        <w:rPr>
          <w:rFonts w:cs="Calibri"/>
        </w:rPr>
        <w:t>establish</w:t>
      </w:r>
      <w:r>
        <w:rPr>
          <w:rFonts w:cs="Calibri"/>
        </w:rPr>
        <w:t xml:space="preserve"> a national</w:t>
      </w:r>
      <w:r w:rsidR="00026019">
        <w:rPr>
          <w:rFonts w:cs="Calibri"/>
        </w:rPr>
        <w:t xml:space="preserve"> confidential, non-pu</w:t>
      </w:r>
      <w:r w:rsidR="008A2CA5">
        <w:rPr>
          <w:rFonts w:cs="Calibri"/>
        </w:rPr>
        <w:t>ni</w:t>
      </w:r>
      <w:r w:rsidR="00026019">
        <w:rPr>
          <w:rFonts w:cs="Calibri"/>
        </w:rPr>
        <w:t>tive,</w:t>
      </w:r>
      <w:r>
        <w:rPr>
          <w:rFonts w:cs="Calibri"/>
        </w:rPr>
        <w:t xml:space="preserve"> </w:t>
      </w:r>
      <w:r w:rsidR="008D7209">
        <w:rPr>
          <w:rFonts w:cs="Calibri"/>
        </w:rPr>
        <w:t>close call</w:t>
      </w:r>
      <w:r>
        <w:rPr>
          <w:rFonts w:cs="Calibri"/>
        </w:rPr>
        <w:t xml:space="preserve"> safety reporting system</w:t>
      </w:r>
      <w:r w:rsidR="001B4DC2">
        <w:rPr>
          <w:rFonts w:cs="Calibri"/>
        </w:rPr>
        <w:t xml:space="preserve"> </w:t>
      </w:r>
      <w:r w:rsidR="005A4DA2">
        <w:rPr>
          <w:rFonts w:cs="Calibri"/>
        </w:rPr>
        <w:t xml:space="preserve">that is </w:t>
      </w:r>
      <w:r w:rsidR="001B4DC2">
        <w:rPr>
          <w:rFonts w:cs="Calibri"/>
        </w:rPr>
        <w:t xml:space="preserve">available </w:t>
      </w:r>
      <w:r w:rsidR="009331AF">
        <w:rPr>
          <w:rFonts w:cs="Calibri"/>
        </w:rPr>
        <w:t xml:space="preserve">for voluntary participation by </w:t>
      </w:r>
      <w:r w:rsidR="001B4DC2">
        <w:rPr>
          <w:rFonts w:cs="Calibri"/>
        </w:rPr>
        <w:t>all RTAs</w:t>
      </w:r>
      <w:r>
        <w:rPr>
          <w:rFonts w:cs="Calibri"/>
        </w:rPr>
        <w:t xml:space="preserve">. As part of </w:t>
      </w:r>
      <w:r w:rsidR="005A4DA2">
        <w:rPr>
          <w:rFonts w:cs="Calibri"/>
        </w:rPr>
        <w:t>this</w:t>
      </w:r>
      <w:r>
        <w:rPr>
          <w:rFonts w:cs="Calibri"/>
        </w:rPr>
        <w:t xml:space="preserve"> national program, FTA should:</w:t>
      </w:r>
    </w:p>
    <w:p w:rsidR="007C7AA6" w:rsidRDefault="009331AF" w:rsidP="00947533">
      <w:pPr>
        <w:pStyle w:val="ListParagraph"/>
        <w:numPr>
          <w:ilvl w:val="1"/>
          <w:numId w:val="4"/>
        </w:numPr>
        <w:rPr>
          <w:rFonts w:cs="Calibri"/>
        </w:rPr>
      </w:pPr>
      <w:r>
        <w:rPr>
          <w:rFonts w:cs="Calibri"/>
        </w:rPr>
        <w:t xml:space="preserve">Evaluate the feasibility of establishing a single, national, third-party agency for a national </w:t>
      </w:r>
      <w:r w:rsidR="008D7209">
        <w:rPr>
          <w:rFonts w:cs="Calibri"/>
        </w:rPr>
        <w:t>close call</w:t>
      </w:r>
      <w:r>
        <w:rPr>
          <w:rFonts w:cs="Calibri"/>
        </w:rPr>
        <w:t xml:space="preserve"> safety reporting system</w:t>
      </w:r>
      <w:r w:rsidR="007034F0">
        <w:rPr>
          <w:rFonts w:cs="Calibri"/>
        </w:rPr>
        <w:t xml:space="preserve">. </w:t>
      </w:r>
    </w:p>
    <w:p w:rsidR="007C7AA6" w:rsidRDefault="007C7AA6" w:rsidP="00947533">
      <w:pPr>
        <w:pStyle w:val="ListParagraph"/>
        <w:numPr>
          <w:ilvl w:val="1"/>
          <w:numId w:val="4"/>
        </w:numPr>
        <w:rPr>
          <w:rFonts w:cs="Calibri"/>
        </w:rPr>
      </w:pPr>
      <w:r w:rsidRPr="00DB6FFF">
        <w:rPr>
          <w:rFonts w:cs="Calibri"/>
        </w:rPr>
        <w:t xml:space="preserve">Negotiate an </w:t>
      </w:r>
      <w:r>
        <w:rPr>
          <w:rFonts w:cs="Calibri"/>
        </w:rPr>
        <w:t xml:space="preserve">implementing </w:t>
      </w:r>
      <w:r w:rsidRPr="00DB6FFF">
        <w:rPr>
          <w:rFonts w:cs="Calibri"/>
        </w:rPr>
        <w:t xml:space="preserve">MOU between labor, management, FTA, </w:t>
      </w:r>
      <w:r>
        <w:rPr>
          <w:rFonts w:cs="Calibri"/>
        </w:rPr>
        <w:t xml:space="preserve">an independent third-party agency, </w:t>
      </w:r>
      <w:r w:rsidRPr="00DB6FFF">
        <w:rPr>
          <w:rFonts w:cs="Calibri"/>
        </w:rPr>
        <w:t>and SSOs as necessary</w:t>
      </w:r>
      <w:r>
        <w:rPr>
          <w:rFonts w:cs="Calibri"/>
        </w:rPr>
        <w:t>, for all new participants.</w:t>
      </w:r>
    </w:p>
    <w:p w:rsidR="007C7AA6" w:rsidRPr="004E264E" w:rsidRDefault="007C7AA6" w:rsidP="00947533">
      <w:pPr>
        <w:pStyle w:val="ListParagraph"/>
        <w:numPr>
          <w:ilvl w:val="1"/>
          <w:numId w:val="4"/>
        </w:numPr>
        <w:rPr>
          <w:rFonts w:cs="Calibri"/>
        </w:rPr>
      </w:pPr>
      <w:r w:rsidRPr="00DB6FFF">
        <w:rPr>
          <w:rFonts w:cs="Calibri"/>
        </w:rPr>
        <w:t>Provide implementation assistance</w:t>
      </w:r>
      <w:r>
        <w:rPr>
          <w:rFonts w:cs="Calibri"/>
        </w:rPr>
        <w:t xml:space="preserve"> to new participants.</w:t>
      </w:r>
    </w:p>
    <w:p w:rsidR="001D0D27" w:rsidRPr="00DB6FFF" w:rsidRDefault="00803C1E" w:rsidP="006F6AE9">
      <w:pPr>
        <w:pStyle w:val="ListParagraph"/>
        <w:numPr>
          <w:ilvl w:val="1"/>
          <w:numId w:val="4"/>
        </w:numPr>
        <w:rPr>
          <w:rFonts w:cs="Calibri"/>
        </w:rPr>
      </w:pPr>
      <w:r w:rsidRPr="00DB6FFF">
        <w:rPr>
          <w:rFonts w:cs="Calibri"/>
        </w:rPr>
        <w:t>D</w:t>
      </w:r>
      <w:r w:rsidR="001D0D27" w:rsidRPr="00DB6FFF">
        <w:rPr>
          <w:rFonts w:cs="Calibri"/>
        </w:rPr>
        <w:t xml:space="preserve">isseminate the results of the </w:t>
      </w:r>
      <w:r w:rsidR="007C7AA6">
        <w:rPr>
          <w:rFonts w:cs="Calibri"/>
        </w:rPr>
        <w:t>national</w:t>
      </w:r>
      <w:r w:rsidR="005B1383">
        <w:rPr>
          <w:rFonts w:cs="Calibri"/>
        </w:rPr>
        <w:t xml:space="preserve">, </w:t>
      </w:r>
      <w:r w:rsidR="008D7209">
        <w:rPr>
          <w:rFonts w:cs="Calibri"/>
        </w:rPr>
        <w:t>close call</w:t>
      </w:r>
      <w:r w:rsidR="001A230F">
        <w:rPr>
          <w:rFonts w:cs="Calibri"/>
        </w:rPr>
        <w:t xml:space="preserve"> </w:t>
      </w:r>
      <w:r w:rsidR="00046A8D">
        <w:rPr>
          <w:rFonts w:cs="Calibri"/>
        </w:rPr>
        <w:t xml:space="preserve">safety </w:t>
      </w:r>
      <w:r w:rsidR="001A230F">
        <w:rPr>
          <w:rFonts w:cs="Calibri"/>
        </w:rPr>
        <w:t xml:space="preserve">reporting </w:t>
      </w:r>
      <w:r w:rsidR="001D0D27" w:rsidRPr="00DB6FFF">
        <w:rPr>
          <w:rFonts w:cs="Calibri"/>
        </w:rPr>
        <w:t>system to stakeholders</w:t>
      </w:r>
      <w:r w:rsidR="00E51747" w:rsidRPr="00DB6FFF">
        <w:rPr>
          <w:rFonts w:cs="Calibri"/>
        </w:rPr>
        <w:t xml:space="preserve"> on an annual basis</w:t>
      </w:r>
      <w:r w:rsidR="003F5D24">
        <w:rPr>
          <w:rFonts w:cs="Calibri"/>
        </w:rPr>
        <w:t>.</w:t>
      </w:r>
    </w:p>
    <w:p w:rsidR="001D0D27" w:rsidRDefault="001D0D27" w:rsidP="001A230F">
      <w:pPr>
        <w:pStyle w:val="ListParagraph"/>
        <w:numPr>
          <w:ilvl w:val="1"/>
          <w:numId w:val="4"/>
        </w:numPr>
        <w:rPr>
          <w:rFonts w:cs="Calibri"/>
        </w:rPr>
      </w:pPr>
      <w:r w:rsidRPr="00DB6FFF">
        <w:rPr>
          <w:rFonts w:cs="Calibri"/>
        </w:rPr>
        <w:t xml:space="preserve">Provide ongoing training regarding the importance of </w:t>
      </w:r>
      <w:r w:rsidR="001A230F">
        <w:rPr>
          <w:rFonts w:cs="Calibri"/>
        </w:rPr>
        <w:t xml:space="preserve">the </w:t>
      </w:r>
      <w:r w:rsidR="008D7209">
        <w:rPr>
          <w:rFonts w:cs="Calibri"/>
        </w:rPr>
        <w:t>close call</w:t>
      </w:r>
      <w:r w:rsidR="005B1383">
        <w:rPr>
          <w:rFonts w:cs="Calibri"/>
        </w:rPr>
        <w:t xml:space="preserve"> </w:t>
      </w:r>
      <w:r w:rsidR="00046A8D">
        <w:rPr>
          <w:rFonts w:cs="Calibri"/>
        </w:rPr>
        <w:t xml:space="preserve">safety </w:t>
      </w:r>
      <w:r w:rsidR="005B1383">
        <w:rPr>
          <w:rFonts w:cs="Calibri"/>
        </w:rPr>
        <w:t>reporting</w:t>
      </w:r>
      <w:r w:rsidRPr="00DB6FFF">
        <w:rPr>
          <w:rFonts w:cs="Calibri"/>
        </w:rPr>
        <w:t xml:space="preserve"> system</w:t>
      </w:r>
      <w:r w:rsidR="003F5D24">
        <w:rPr>
          <w:rFonts w:cs="Calibri"/>
        </w:rPr>
        <w:t>.</w:t>
      </w:r>
    </w:p>
    <w:p w:rsidR="003006BD" w:rsidRDefault="007034F0" w:rsidP="002A6149">
      <w:pPr>
        <w:pStyle w:val="ListParagraph"/>
        <w:numPr>
          <w:ilvl w:val="1"/>
          <w:numId w:val="4"/>
        </w:numPr>
        <w:rPr>
          <w:rFonts w:cs="Calibri"/>
        </w:rPr>
      </w:pPr>
      <w:r>
        <w:rPr>
          <w:rFonts w:cs="Calibri"/>
        </w:rPr>
        <w:t>Develop and p</w:t>
      </w:r>
      <w:r w:rsidR="007C7AA6" w:rsidRPr="001A230F">
        <w:rPr>
          <w:rFonts w:cs="Calibri"/>
        </w:rPr>
        <w:t>ublish guidelines for independent</w:t>
      </w:r>
      <w:r w:rsidR="0027083F">
        <w:rPr>
          <w:rFonts w:cs="Calibri"/>
        </w:rPr>
        <w:t>,</w:t>
      </w:r>
      <w:r w:rsidR="007C7AA6" w:rsidRPr="001A230F">
        <w:rPr>
          <w:rFonts w:cs="Calibri"/>
        </w:rPr>
        <w:t xml:space="preserve"> </w:t>
      </w:r>
      <w:r>
        <w:rPr>
          <w:rFonts w:cs="Calibri"/>
        </w:rPr>
        <w:t xml:space="preserve">confidential, non-punitive close call reporting </w:t>
      </w:r>
      <w:r w:rsidR="007C7AA6" w:rsidRPr="001A230F">
        <w:rPr>
          <w:rFonts w:cs="Calibri"/>
        </w:rPr>
        <w:t>systems established by RTAs or SSOs</w:t>
      </w:r>
      <w:r w:rsidR="007C7AA6">
        <w:rPr>
          <w:rFonts w:cs="Calibri"/>
        </w:rPr>
        <w:t xml:space="preserve"> that elect not to join </w:t>
      </w:r>
      <w:r w:rsidR="00DB2F02">
        <w:rPr>
          <w:rFonts w:cs="Calibri"/>
        </w:rPr>
        <w:t>a</w:t>
      </w:r>
      <w:r w:rsidR="007C7AA6">
        <w:rPr>
          <w:rFonts w:cs="Calibri"/>
        </w:rPr>
        <w:t xml:space="preserve"> national system. These guidelines should include a standard reporting mechanism such that data from these systems can contribute to industry-wide pattern</w:t>
      </w:r>
      <w:r w:rsidR="005A4DA2">
        <w:rPr>
          <w:rFonts w:cs="Calibri"/>
        </w:rPr>
        <w:t>s</w:t>
      </w:r>
      <w:r w:rsidR="007C7AA6">
        <w:rPr>
          <w:rFonts w:cs="Calibri"/>
        </w:rPr>
        <w:t xml:space="preserve"> and trend</w:t>
      </w:r>
      <w:r w:rsidR="00164111">
        <w:rPr>
          <w:rFonts w:cs="Calibri"/>
        </w:rPr>
        <w:t>s</w:t>
      </w:r>
      <w:r w:rsidR="007C7AA6">
        <w:rPr>
          <w:rFonts w:cs="Calibri"/>
        </w:rPr>
        <w:t xml:space="preserve"> analyses</w:t>
      </w:r>
      <w:r w:rsidR="007C7AA6" w:rsidRPr="001A230F">
        <w:rPr>
          <w:rFonts w:cs="Calibri"/>
        </w:rPr>
        <w:t>.</w:t>
      </w:r>
    </w:p>
    <w:p w:rsidR="003006BD" w:rsidRDefault="003006BD" w:rsidP="002A6149">
      <w:pPr>
        <w:pStyle w:val="ListParagraph"/>
        <w:ind w:left="1440"/>
        <w:rPr>
          <w:rFonts w:cs="Calibri"/>
        </w:rPr>
      </w:pPr>
    </w:p>
    <w:p w:rsidR="003006BD" w:rsidRPr="002A6149" w:rsidRDefault="003006BD" w:rsidP="002A6149">
      <w:pPr>
        <w:pStyle w:val="ListParagraph"/>
        <w:numPr>
          <w:ilvl w:val="0"/>
          <w:numId w:val="4"/>
        </w:numPr>
        <w:rPr>
          <w:rFonts w:cs="Calibri"/>
        </w:rPr>
      </w:pPr>
      <w:r w:rsidRPr="003006BD">
        <w:rPr>
          <w:rFonts w:cs="Calibri"/>
        </w:rPr>
        <w:t xml:space="preserve">FTA should pursue legislation that would provide it </w:t>
      </w:r>
      <w:r w:rsidRPr="00AB7BC3">
        <w:rPr>
          <w:rFonts w:cs="Calibri"/>
        </w:rPr>
        <w:t xml:space="preserve">with statutory authority to protect confidential safety information obtained from </w:t>
      </w:r>
      <w:r w:rsidR="00DF334A">
        <w:rPr>
          <w:rFonts w:cs="Calibri"/>
        </w:rPr>
        <w:t>close call</w:t>
      </w:r>
      <w:r w:rsidR="00DF334A" w:rsidRPr="00AB7BC3">
        <w:rPr>
          <w:rFonts w:cs="Calibri"/>
        </w:rPr>
        <w:t xml:space="preserve"> </w:t>
      </w:r>
      <w:r w:rsidRPr="00AB7BC3">
        <w:rPr>
          <w:rFonts w:cs="Calibri"/>
        </w:rPr>
        <w:t>safety reporting systems.</w:t>
      </w:r>
    </w:p>
    <w:p w:rsidR="003006BD" w:rsidRDefault="003006BD" w:rsidP="002A6149">
      <w:pPr>
        <w:pStyle w:val="ListParagraph"/>
        <w:ind w:left="1440"/>
        <w:rPr>
          <w:rFonts w:cs="Calibri"/>
        </w:rPr>
      </w:pPr>
    </w:p>
    <w:p w:rsidR="0076518A" w:rsidRDefault="0076518A" w:rsidP="00A61BAC">
      <w:pPr>
        <w:pStyle w:val="Heading1"/>
        <w:spacing w:after="120"/>
        <w:rPr>
          <w:rFonts w:ascii="Calibri" w:hAnsi="Calibri" w:cs="Calibri"/>
        </w:rPr>
        <w:sectPr w:rsidR="0076518A" w:rsidSect="000850EF">
          <w:endnotePr>
            <w:numFmt w:val="decimal"/>
            <w:numRestart w:val="eachSect"/>
          </w:endnotePr>
          <w:pgSz w:w="12240" w:h="15840"/>
          <w:pgMar w:top="1440" w:right="1800" w:bottom="1440" w:left="1800" w:header="720" w:footer="720" w:gutter="0"/>
          <w:cols w:space="720"/>
          <w:docGrid w:linePitch="360"/>
        </w:sectPr>
      </w:pPr>
      <w:bookmarkStart w:id="60" w:name="_Toc316336510"/>
    </w:p>
    <w:p w:rsidR="00C116FB" w:rsidRPr="00DB6FFF" w:rsidRDefault="00C116FB" w:rsidP="00A61BAC">
      <w:pPr>
        <w:pStyle w:val="Heading1"/>
        <w:spacing w:after="120"/>
        <w:rPr>
          <w:rFonts w:ascii="Calibri" w:hAnsi="Calibri" w:cs="Calibri"/>
        </w:rPr>
      </w:pPr>
      <w:bookmarkStart w:id="61" w:name="_Toc317106155"/>
      <w:r w:rsidRPr="00DB6FFF">
        <w:rPr>
          <w:rFonts w:ascii="Calibri" w:hAnsi="Calibri" w:cs="Calibri"/>
        </w:rPr>
        <w:lastRenderedPageBreak/>
        <w:t xml:space="preserve">Appendix A: </w:t>
      </w:r>
      <w:r w:rsidR="0058586B" w:rsidRPr="0058586B">
        <w:rPr>
          <w:rFonts w:ascii="Calibri" w:hAnsi="Calibri" w:cs="Calibri"/>
        </w:rPr>
        <w:t xml:space="preserve"> </w:t>
      </w:r>
      <w:r w:rsidR="0058586B" w:rsidRPr="00DB6FFF">
        <w:rPr>
          <w:rFonts w:ascii="Calibri" w:hAnsi="Calibri" w:cs="Calibri"/>
        </w:rPr>
        <w:t xml:space="preserve">Examples of Unsafe </w:t>
      </w:r>
      <w:r w:rsidR="0058586B">
        <w:rPr>
          <w:rFonts w:ascii="Calibri" w:hAnsi="Calibri" w:cs="Calibri"/>
        </w:rPr>
        <w:t>Events</w:t>
      </w:r>
      <w:r w:rsidR="0058586B" w:rsidRPr="00DB6FFF">
        <w:rPr>
          <w:rFonts w:ascii="Calibri" w:hAnsi="Calibri" w:cs="Calibri"/>
        </w:rPr>
        <w:t xml:space="preserve"> That Could Qualify For</w:t>
      </w:r>
      <w:r w:rsidR="0058586B">
        <w:rPr>
          <w:rFonts w:ascii="Calibri" w:hAnsi="Calibri" w:cs="Calibri"/>
        </w:rPr>
        <w:t xml:space="preserve"> Confidential,</w:t>
      </w:r>
      <w:r w:rsidR="0058586B" w:rsidRPr="00DB6FFF">
        <w:rPr>
          <w:rFonts w:ascii="Calibri" w:hAnsi="Calibri" w:cs="Calibri"/>
        </w:rPr>
        <w:t xml:space="preserve"> Non-Punitive</w:t>
      </w:r>
      <w:r w:rsidR="0058586B">
        <w:rPr>
          <w:rFonts w:ascii="Calibri" w:hAnsi="Calibri" w:cs="Calibri"/>
        </w:rPr>
        <w:t>, Close Call</w:t>
      </w:r>
      <w:r w:rsidR="0058586B" w:rsidRPr="00DB6FFF">
        <w:rPr>
          <w:rFonts w:ascii="Calibri" w:hAnsi="Calibri" w:cs="Calibri"/>
        </w:rPr>
        <w:t xml:space="preserve"> </w:t>
      </w:r>
      <w:r w:rsidR="0058586B">
        <w:rPr>
          <w:rFonts w:ascii="Calibri" w:hAnsi="Calibri" w:cs="Calibri"/>
        </w:rPr>
        <w:t xml:space="preserve">Safety </w:t>
      </w:r>
      <w:r w:rsidR="0058586B" w:rsidRPr="00DB6FFF">
        <w:rPr>
          <w:rFonts w:ascii="Calibri" w:hAnsi="Calibri" w:cs="Calibri"/>
        </w:rPr>
        <w:t>Reporting in a Rail Transit Environment</w:t>
      </w:r>
      <w:r w:rsidR="00850D47" w:rsidRPr="00DB6FFF">
        <w:rPr>
          <w:rFonts w:ascii="Calibri" w:hAnsi="Calibri" w:cs="Calibri"/>
        </w:rPr>
        <w:t xml:space="preserve"> </w:t>
      </w:r>
      <w:bookmarkEnd w:id="60"/>
      <w:bookmarkEnd w:id="61"/>
    </w:p>
    <w:p w:rsidR="00A61BAC" w:rsidRPr="00DB6FFF" w:rsidRDefault="00A61BAC" w:rsidP="007310E6">
      <w:pPr>
        <w:pStyle w:val="ListParagraph"/>
        <w:numPr>
          <w:ilvl w:val="0"/>
          <w:numId w:val="1"/>
        </w:numPr>
        <w:spacing w:line="360" w:lineRule="auto"/>
        <w:ind w:left="360"/>
        <w:rPr>
          <w:rFonts w:cs="Calibri"/>
        </w:rPr>
      </w:pPr>
      <w:r w:rsidRPr="00DB6FFF">
        <w:rPr>
          <w:rFonts w:cs="Calibri"/>
        </w:rPr>
        <w:t>Doors opening on the wrong side</w:t>
      </w:r>
    </w:p>
    <w:p w:rsidR="00633CCB" w:rsidRPr="00DB6FFF" w:rsidRDefault="00633CCB" w:rsidP="007310E6">
      <w:pPr>
        <w:pStyle w:val="ListParagraph"/>
        <w:numPr>
          <w:ilvl w:val="0"/>
          <w:numId w:val="1"/>
        </w:numPr>
        <w:spacing w:line="360" w:lineRule="auto"/>
        <w:ind w:left="360"/>
        <w:rPr>
          <w:rFonts w:cs="Calibri"/>
        </w:rPr>
      </w:pPr>
      <w:r w:rsidRPr="00DB6FFF">
        <w:rPr>
          <w:rFonts w:cs="Calibri"/>
        </w:rPr>
        <w:t>Overshooting or bypassing a station</w:t>
      </w:r>
    </w:p>
    <w:p w:rsidR="00A61BAC" w:rsidRPr="00DB6FFF" w:rsidRDefault="00A61BAC" w:rsidP="007310E6">
      <w:pPr>
        <w:pStyle w:val="ListParagraph"/>
        <w:numPr>
          <w:ilvl w:val="0"/>
          <w:numId w:val="1"/>
        </w:numPr>
        <w:spacing w:line="360" w:lineRule="auto"/>
        <w:ind w:left="360"/>
        <w:rPr>
          <w:rFonts w:cs="Calibri"/>
        </w:rPr>
      </w:pPr>
      <w:r w:rsidRPr="00DB6FFF">
        <w:rPr>
          <w:rFonts w:cs="Calibri"/>
        </w:rPr>
        <w:t>Split switch</w:t>
      </w:r>
      <w:r w:rsidR="00633CCB" w:rsidRPr="00DB6FFF">
        <w:rPr>
          <w:rFonts w:cs="Calibri"/>
        </w:rPr>
        <w:t xml:space="preserve"> incidents</w:t>
      </w:r>
    </w:p>
    <w:p w:rsidR="00A61BAC" w:rsidRPr="00DB6FFF" w:rsidRDefault="00A61BAC" w:rsidP="007310E6">
      <w:pPr>
        <w:pStyle w:val="ListParagraph"/>
        <w:numPr>
          <w:ilvl w:val="0"/>
          <w:numId w:val="1"/>
        </w:numPr>
        <w:spacing w:line="360" w:lineRule="auto"/>
        <w:ind w:left="360"/>
        <w:rPr>
          <w:rFonts w:cs="Calibri"/>
        </w:rPr>
      </w:pPr>
      <w:r w:rsidRPr="00DB6FFF">
        <w:rPr>
          <w:rFonts w:cs="Calibri"/>
        </w:rPr>
        <w:t>Signal run-through</w:t>
      </w:r>
      <w:r w:rsidR="00633CCB" w:rsidRPr="00DB6FFF">
        <w:rPr>
          <w:rFonts w:cs="Calibri"/>
        </w:rPr>
        <w:t xml:space="preserve"> incidents </w:t>
      </w:r>
    </w:p>
    <w:p w:rsidR="00A61BAC" w:rsidRPr="00DB6FFF" w:rsidRDefault="00A61BAC" w:rsidP="007310E6">
      <w:pPr>
        <w:pStyle w:val="ListParagraph"/>
        <w:numPr>
          <w:ilvl w:val="0"/>
          <w:numId w:val="1"/>
        </w:numPr>
        <w:spacing w:line="360" w:lineRule="auto"/>
        <w:ind w:left="360"/>
        <w:rPr>
          <w:rFonts w:cs="Calibri"/>
        </w:rPr>
      </w:pPr>
      <w:r w:rsidRPr="00DB6FFF">
        <w:rPr>
          <w:rFonts w:cs="Calibri"/>
        </w:rPr>
        <w:t xml:space="preserve">Doors opening </w:t>
      </w:r>
      <w:r w:rsidR="00633CCB" w:rsidRPr="00DB6FFF">
        <w:rPr>
          <w:rFonts w:cs="Calibri"/>
        </w:rPr>
        <w:t>when train is not properly berthed</w:t>
      </w:r>
    </w:p>
    <w:p w:rsidR="00654A8D" w:rsidRPr="00DB6FFF" w:rsidRDefault="00654A8D" w:rsidP="007310E6">
      <w:pPr>
        <w:pStyle w:val="ListParagraph"/>
        <w:numPr>
          <w:ilvl w:val="0"/>
          <w:numId w:val="1"/>
        </w:numPr>
        <w:spacing w:line="360" w:lineRule="auto"/>
        <w:ind w:left="360"/>
        <w:rPr>
          <w:rFonts w:cs="Calibri"/>
        </w:rPr>
      </w:pPr>
      <w:r w:rsidRPr="00DB6FFF">
        <w:rPr>
          <w:rFonts w:cs="Calibri"/>
        </w:rPr>
        <w:t>Running through any required stop</w:t>
      </w:r>
    </w:p>
    <w:p w:rsidR="00A61BAC" w:rsidRPr="00DB6FFF" w:rsidRDefault="00A61BAC" w:rsidP="007310E6">
      <w:pPr>
        <w:pStyle w:val="ListParagraph"/>
        <w:numPr>
          <w:ilvl w:val="0"/>
          <w:numId w:val="1"/>
        </w:numPr>
        <w:spacing w:line="360" w:lineRule="auto"/>
        <w:ind w:left="360"/>
        <w:rPr>
          <w:rFonts w:cs="Calibri"/>
        </w:rPr>
      </w:pPr>
      <w:r w:rsidRPr="00DB6FFF">
        <w:rPr>
          <w:rFonts w:cs="Calibri"/>
        </w:rPr>
        <w:t>Speeding</w:t>
      </w:r>
    </w:p>
    <w:p w:rsidR="00A61BAC" w:rsidRPr="00DB6FFF" w:rsidRDefault="00A61BAC" w:rsidP="007310E6">
      <w:pPr>
        <w:pStyle w:val="ListParagraph"/>
        <w:numPr>
          <w:ilvl w:val="0"/>
          <w:numId w:val="1"/>
        </w:numPr>
        <w:spacing w:line="360" w:lineRule="auto"/>
        <w:ind w:left="360"/>
        <w:rPr>
          <w:rFonts w:cs="Calibri"/>
        </w:rPr>
      </w:pPr>
      <w:r w:rsidRPr="00DB6FFF">
        <w:rPr>
          <w:rFonts w:cs="Calibri"/>
        </w:rPr>
        <w:t>Improper flagging</w:t>
      </w:r>
    </w:p>
    <w:p w:rsidR="00A61BAC" w:rsidRPr="00DB6FFF" w:rsidRDefault="00A61BAC" w:rsidP="007310E6">
      <w:pPr>
        <w:pStyle w:val="ListParagraph"/>
        <w:numPr>
          <w:ilvl w:val="0"/>
          <w:numId w:val="1"/>
        </w:numPr>
        <w:spacing w:line="360" w:lineRule="auto"/>
        <w:ind w:left="360"/>
        <w:rPr>
          <w:rFonts w:cs="Calibri"/>
        </w:rPr>
      </w:pPr>
      <w:r w:rsidRPr="00DB6FFF">
        <w:rPr>
          <w:rFonts w:cs="Calibri"/>
        </w:rPr>
        <w:t xml:space="preserve">Failing to blow the horn when </w:t>
      </w:r>
      <w:r w:rsidR="00633CCB" w:rsidRPr="00DB6FFF">
        <w:rPr>
          <w:rFonts w:cs="Calibri"/>
        </w:rPr>
        <w:t>required</w:t>
      </w:r>
    </w:p>
    <w:p w:rsidR="00A61BAC" w:rsidRPr="00DB6FFF" w:rsidRDefault="00A61BAC" w:rsidP="007310E6">
      <w:pPr>
        <w:pStyle w:val="ListParagraph"/>
        <w:numPr>
          <w:ilvl w:val="0"/>
          <w:numId w:val="1"/>
        </w:numPr>
        <w:spacing w:line="360" w:lineRule="auto"/>
        <w:ind w:left="360"/>
        <w:rPr>
          <w:rFonts w:cs="Calibri"/>
        </w:rPr>
      </w:pPr>
      <w:r w:rsidRPr="00DB6FFF">
        <w:rPr>
          <w:rFonts w:cs="Calibri"/>
        </w:rPr>
        <w:t>Going through a grade crossing with broken gates without stopping</w:t>
      </w:r>
    </w:p>
    <w:p w:rsidR="00A61BAC" w:rsidRPr="00DB6FFF" w:rsidRDefault="00633CCB" w:rsidP="007310E6">
      <w:pPr>
        <w:pStyle w:val="ListParagraph"/>
        <w:numPr>
          <w:ilvl w:val="0"/>
          <w:numId w:val="1"/>
        </w:numPr>
        <w:spacing w:line="360" w:lineRule="auto"/>
        <w:ind w:left="360"/>
        <w:rPr>
          <w:rFonts w:cs="Calibri"/>
        </w:rPr>
      </w:pPr>
      <w:r w:rsidRPr="00DB6FFF">
        <w:rPr>
          <w:rFonts w:cs="Calibri"/>
        </w:rPr>
        <w:t>Operating on the w</w:t>
      </w:r>
      <w:r w:rsidR="00A61BAC" w:rsidRPr="00DB6FFF">
        <w:rPr>
          <w:rFonts w:cs="Calibri"/>
        </w:rPr>
        <w:t>rong track</w:t>
      </w:r>
    </w:p>
    <w:p w:rsidR="00A61BAC" w:rsidRPr="00DB6FFF" w:rsidRDefault="00633CCB" w:rsidP="007310E6">
      <w:pPr>
        <w:pStyle w:val="ListParagraph"/>
        <w:numPr>
          <w:ilvl w:val="0"/>
          <w:numId w:val="1"/>
        </w:numPr>
        <w:spacing w:line="360" w:lineRule="auto"/>
        <w:ind w:left="360"/>
        <w:rPr>
          <w:rFonts w:cs="Calibri"/>
        </w:rPr>
      </w:pPr>
      <w:r w:rsidRPr="00DB6FFF">
        <w:rPr>
          <w:rFonts w:cs="Calibri"/>
        </w:rPr>
        <w:t xml:space="preserve">Operating beyond authorized </w:t>
      </w:r>
      <w:r w:rsidR="00A61BAC" w:rsidRPr="00DB6FFF">
        <w:rPr>
          <w:rFonts w:cs="Calibri"/>
        </w:rPr>
        <w:t>limits</w:t>
      </w:r>
    </w:p>
    <w:p w:rsidR="00A61BAC" w:rsidRPr="00DB6FFF" w:rsidRDefault="00E36828" w:rsidP="007310E6">
      <w:pPr>
        <w:pStyle w:val="ListParagraph"/>
        <w:numPr>
          <w:ilvl w:val="0"/>
          <w:numId w:val="1"/>
        </w:numPr>
        <w:spacing w:line="360" w:lineRule="auto"/>
        <w:ind w:left="360"/>
        <w:rPr>
          <w:rFonts w:cs="Calibri"/>
        </w:rPr>
      </w:pPr>
      <w:r>
        <w:rPr>
          <w:rFonts w:cs="Calibri"/>
        </w:rPr>
        <w:t>Failure to protect adjacent track</w:t>
      </w:r>
      <w:r w:rsidR="00454617">
        <w:rPr>
          <w:rFonts w:cs="Calibri"/>
        </w:rPr>
        <w:t xml:space="preserve"> when necessary for safety</w:t>
      </w:r>
    </w:p>
    <w:p w:rsidR="00A61BAC" w:rsidRPr="00DB6FFF" w:rsidRDefault="008B637E" w:rsidP="007310E6">
      <w:pPr>
        <w:pStyle w:val="ListParagraph"/>
        <w:numPr>
          <w:ilvl w:val="0"/>
          <w:numId w:val="1"/>
        </w:numPr>
        <w:spacing w:line="360" w:lineRule="auto"/>
        <w:ind w:left="360"/>
        <w:rPr>
          <w:rFonts w:cs="Calibri"/>
        </w:rPr>
      </w:pPr>
      <w:r>
        <w:rPr>
          <w:rFonts w:cs="Calibri"/>
        </w:rPr>
        <w:t>Non-compliance with</w:t>
      </w:r>
      <w:r w:rsidR="00633CCB" w:rsidRPr="00DB6FFF">
        <w:rPr>
          <w:rFonts w:cs="Calibri"/>
        </w:rPr>
        <w:t xml:space="preserve"> </w:t>
      </w:r>
      <w:r w:rsidR="00E36828">
        <w:rPr>
          <w:rFonts w:cs="Calibri"/>
        </w:rPr>
        <w:t xml:space="preserve">wayside rail transit worker protection </w:t>
      </w:r>
      <w:r w:rsidR="00633CCB" w:rsidRPr="00DB6FFF">
        <w:rPr>
          <w:rFonts w:cs="Calibri"/>
        </w:rPr>
        <w:t>rules</w:t>
      </w:r>
    </w:p>
    <w:p w:rsidR="00A61BAC" w:rsidRPr="00DB6FFF" w:rsidRDefault="00633CCB" w:rsidP="007310E6">
      <w:pPr>
        <w:pStyle w:val="ListParagraph"/>
        <w:numPr>
          <w:ilvl w:val="0"/>
          <w:numId w:val="1"/>
        </w:numPr>
        <w:spacing w:line="360" w:lineRule="auto"/>
        <w:ind w:left="360"/>
        <w:rPr>
          <w:rFonts w:cs="Calibri"/>
        </w:rPr>
      </w:pPr>
      <w:r w:rsidRPr="00DB6FFF">
        <w:rPr>
          <w:rFonts w:cs="Calibri"/>
        </w:rPr>
        <w:t>Third rail or OCS power</w:t>
      </w:r>
      <w:r w:rsidR="005A4DA2">
        <w:rPr>
          <w:rFonts w:cs="Calibri"/>
        </w:rPr>
        <w:t>-</w:t>
      </w:r>
      <w:r w:rsidRPr="00DB6FFF">
        <w:rPr>
          <w:rFonts w:cs="Calibri"/>
        </w:rPr>
        <w:t>related incidents</w:t>
      </w:r>
    </w:p>
    <w:p w:rsidR="00A61BAC" w:rsidRDefault="00A61BAC" w:rsidP="00A61BAC">
      <w:pPr>
        <w:pStyle w:val="ListParagraph"/>
        <w:rPr>
          <w:rFonts w:cs="Calibri"/>
        </w:rPr>
      </w:pPr>
    </w:p>
    <w:p w:rsidR="00280B8C" w:rsidRDefault="00280B8C" w:rsidP="00A61BAC">
      <w:pPr>
        <w:pStyle w:val="ListParagraph"/>
        <w:rPr>
          <w:rFonts w:cs="Calibri"/>
        </w:rPr>
      </w:pPr>
    </w:p>
    <w:p w:rsidR="00280B8C" w:rsidRDefault="00280B8C" w:rsidP="00A61BAC">
      <w:pPr>
        <w:pStyle w:val="ListParagraph"/>
        <w:rPr>
          <w:rFonts w:cs="Calibri"/>
        </w:rPr>
      </w:pPr>
    </w:p>
    <w:p w:rsidR="007F6EA0" w:rsidRDefault="007F6EA0" w:rsidP="00C116FB">
      <w:pPr>
        <w:pStyle w:val="Heading1"/>
        <w:rPr>
          <w:rFonts w:ascii="Calibri" w:hAnsi="Calibri" w:cs="Calibri"/>
        </w:rPr>
        <w:sectPr w:rsidR="007F6EA0" w:rsidSect="001C45A2">
          <w:footerReference w:type="default" r:id="rId29"/>
          <w:endnotePr>
            <w:numFmt w:val="decimal"/>
            <w:numRestart w:val="eachSect"/>
          </w:endnotePr>
          <w:pgSz w:w="12240" w:h="15840"/>
          <w:pgMar w:top="1440" w:right="1800" w:bottom="1440" w:left="1800" w:header="720" w:footer="720" w:gutter="0"/>
          <w:pgNumType w:start="1"/>
          <w:cols w:space="720"/>
          <w:docGrid w:linePitch="360"/>
        </w:sectPr>
      </w:pPr>
      <w:bookmarkStart w:id="62" w:name="_Toc316336511"/>
    </w:p>
    <w:p w:rsidR="00C116FB" w:rsidRPr="00DB6FFF" w:rsidRDefault="00C116FB" w:rsidP="00C116FB">
      <w:pPr>
        <w:pStyle w:val="Heading1"/>
        <w:rPr>
          <w:rFonts w:ascii="Calibri" w:hAnsi="Calibri" w:cs="Calibri"/>
        </w:rPr>
      </w:pPr>
      <w:bookmarkStart w:id="63" w:name="_Toc317106156"/>
      <w:r w:rsidRPr="00DB6FFF">
        <w:rPr>
          <w:rFonts w:ascii="Calibri" w:hAnsi="Calibri" w:cs="Calibri"/>
        </w:rPr>
        <w:lastRenderedPageBreak/>
        <w:t xml:space="preserve">Appendix B: Model Memorandum of Understanding </w:t>
      </w:r>
      <w:r w:rsidR="009E26AD" w:rsidRPr="00DB6FFF">
        <w:rPr>
          <w:rFonts w:ascii="Calibri" w:hAnsi="Calibri" w:cs="Calibri"/>
        </w:rPr>
        <w:t xml:space="preserve">for Establishment of a </w:t>
      </w:r>
      <w:r w:rsidR="00CF6B42" w:rsidRPr="00DB6FFF">
        <w:rPr>
          <w:rFonts w:ascii="Calibri" w:hAnsi="Calibri" w:cs="Calibri"/>
        </w:rPr>
        <w:t>Confidential, Non-Punitive,</w:t>
      </w:r>
      <w:r w:rsidR="00D56DA0">
        <w:rPr>
          <w:rFonts w:ascii="Calibri" w:hAnsi="Calibri" w:cs="Calibri"/>
        </w:rPr>
        <w:t xml:space="preserve"> Close</w:t>
      </w:r>
      <w:r w:rsidR="008D7209">
        <w:rPr>
          <w:rFonts w:ascii="Calibri" w:hAnsi="Calibri" w:cs="Calibri"/>
        </w:rPr>
        <w:t xml:space="preserve"> </w:t>
      </w:r>
      <w:r w:rsidR="00D56DA0">
        <w:rPr>
          <w:rFonts w:ascii="Calibri" w:hAnsi="Calibri" w:cs="Calibri"/>
        </w:rPr>
        <w:t xml:space="preserve">Call </w:t>
      </w:r>
      <w:r w:rsidR="00422843">
        <w:rPr>
          <w:rFonts w:ascii="Calibri" w:hAnsi="Calibri" w:cs="Calibri"/>
        </w:rPr>
        <w:t xml:space="preserve">Safety </w:t>
      </w:r>
      <w:r w:rsidR="00D56DA0">
        <w:rPr>
          <w:rFonts w:ascii="Calibri" w:hAnsi="Calibri" w:cs="Calibri"/>
        </w:rPr>
        <w:t>Reporting</w:t>
      </w:r>
      <w:r w:rsidR="009E26AD" w:rsidRPr="00DB6FFF">
        <w:rPr>
          <w:rFonts w:ascii="Calibri" w:hAnsi="Calibri" w:cs="Calibri"/>
        </w:rPr>
        <w:t xml:space="preserve"> System</w:t>
      </w:r>
      <w:bookmarkEnd w:id="62"/>
      <w:r w:rsidR="00D56DA0">
        <w:rPr>
          <w:rFonts w:ascii="Calibri" w:hAnsi="Calibri" w:cs="Calibri"/>
        </w:rPr>
        <w:t xml:space="preserve"> for the Rail Transit Industry</w:t>
      </w:r>
      <w:bookmarkEnd w:id="63"/>
    </w:p>
    <w:p w:rsidR="00C116FB" w:rsidRPr="00DB6FFF" w:rsidRDefault="00C116FB" w:rsidP="00C116FB">
      <w:pPr>
        <w:rPr>
          <w:rFonts w:cs="Calibri"/>
        </w:rPr>
      </w:pPr>
    </w:p>
    <w:p w:rsidR="005B7F58" w:rsidRPr="00EC3B6B" w:rsidRDefault="005B7F58" w:rsidP="00EC3B6B">
      <w:pPr>
        <w:pStyle w:val="Heading1a"/>
        <w:jc w:val="center"/>
        <w:rPr>
          <w:rFonts w:ascii="Calibri" w:hAnsi="Calibri" w:cs="Calibri"/>
        </w:rPr>
      </w:pPr>
      <w:bookmarkStart w:id="64" w:name="_Toc317097315"/>
      <w:bookmarkStart w:id="65" w:name="_Toc317106157"/>
      <w:r w:rsidRPr="00DB6FFF">
        <w:rPr>
          <w:rFonts w:ascii="Calibri" w:hAnsi="Calibri" w:cs="Calibri"/>
        </w:rPr>
        <w:t>Table of Contents</w:t>
      </w:r>
      <w:bookmarkEnd w:id="64"/>
      <w:bookmarkEnd w:id="65"/>
    </w:p>
    <w:p w:rsidR="00651F58" w:rsidRPr="00EC3B6B" w:rsidRDefault="000F6831" w:rsidP="00EC3B6B">
      <w:pPr>
        <w:pStyle w:val="TOC1"/>
      </w:pPr>
      <w:hyperlink w:anchor="_Toc317106158" w:history="1">
        <w:r w:rsidR="00651F58" w:rsidRPr="00EC3B6B">
          <w:rPr>
            <w:rStyle w:val="Hyperlink"/>
            <w:rFonts w:cs="Calibri"/>
            <w:color w:val="auto"/>
          </w:rPr>
          <w:t>1.Purpose of the Model Memorandum of Understanding</w:t>
        </w:r>
        <w:r w:rsidR="00651F58" w:rsidRPr="00EC3B6B">
          <w:rPr>
            <w:webHidden/>
          </w:rPr>
          <w:tab/>
          <w:t>B-</w:t>
        </w:r>
        <w:r w:rsidR="001E6003" w:rsidRPr="00EC3B6B">
          <w:rPr>
            <w:webHidden/>
          </w:rPr>
          <w:fldChar w:fldCharType="begin"/>
        </w:r>
        <w:r w:rsidR="00651F58" w:rsidRPr="00EC3B6B">
          <w:rPr>
            <w:webHidden/>
          </w:rPr>
          <w:instrText xml:space="preserve"> PAGEREF _Toc317106158 \h </w:instrText>
        </w:r>
        <w:r w:rsidR="001E6003" w:rsidRPr="00EC3B6B">
          <w:rPr>
            <w:webHidden/>
          </w:rPr>
        </w:r>
        <w:r w:rsidR="001E6003" w:rsidRPr="00EC3B6B">
          <w:rPr>
            <w:webHidden/>
          </w:rPr>
          <w:fldChar w:fldCharType="separate"/>
        </w:r>
        <w:r w:rsidR="00517329" w:rsidRPr="00EC3B6B">
          <w:rPr>
            <w:webHidden/>
          </w:rPr>
          <w:t>2</w:t>
        </w:r>
        <w:r w:rsidR="001E6003" w:rsidRPr="00EC3B6B">
          <w:rPr>
            <w:webHidden/>
          </w:rPr>
          <w:fldChar w:fldCharType="end"/>
        </w:r>
      </w:hyperlink>
    </w:p>
    <w:p w:rsidR="00651F58" w:rsidRPr="00EC3B6B" w:rsidRDefault="000F6831" w:rsidP="00EC3B6B">
      <w:pPr>
        <w:pStyle w:val="TOC1"/>
      </w:pPr>
      <w:hyperlink w:anchor="_Toc317106159" w:history="1">
        <w:r w:rsidR="00651F58" w:rsidRPr="00EC3B6B">
          <w:rPr>
            <w:rStyle w:val="Hyperlink"/>
            <w:rFonts w:cs="Calibri"/>
            <w:color w:val="auto"/>
          </w:rPr>
          <w:t>2.Background</w:t>
        </w:r>
        <w:r w:rsidR="00651F58" w:rsidRPr="00EC3B6B">
          <w:rPr>
            <w:webHidden/>
          </w:rPr>
          <w:tab/>
          <w:t>B-</w:t>
        </w:r>
        <w:r w:rsidR="001E6003" w:rsidRPr="00EC3B6B">
          <w:rPr>
            <w:webHidden/>
          </w:rPr>
          <w:fldChar w:fldCharType="begin"/>
        </w:r>
        <w:r w:rsidR="00651F58" w:rsidRPr="00EC3B6B">
          <w:rPr>
            <w:webHidden/>
          </w:rPr>
          <w:instrText xml:space="preserve"> PAGEREF _Toc317106159 \h </w:instrText>
        </w:r>
        <w:r w:rsidR="001E6003" w:rsidRPr="00EC3B6B">
          <w:rPr>
            <w:webHidden/>
          </w:rPr>
        </w:r>
        <w:r w:rsidR="001E6003" w:rsidRPr="00EC3B6B">
          <w:rPr>
            <w:webHidden/>
          </w:rPr>
          <w:fldChar w:fldCharType="separate"/>
        </w:r>
        <w:r w:rsidR="00517329" w:rsidRPr="00EC3B6B">
          <w:rPr>
            <w:webHidden/>
          </w:rPr>
          <w:t>2</w:t>
        </w:r>
        <w:r w:rsidR="001E6003" w:rsidRPr="00EC3B6B">
          <w:rPr>
            <w:webHidden/>
          </w:rPr>
          <w:fldChar w:fldCharType="end"/>
        </w:r>
      </w:hyperlink>
    </w:p>
    <w:p w:rsidR="00651F58" w:rsidRPr="00EC3B6B" w:rsidRDefault="000F6831" w:rsidP="00EC3B6B">
      <w:pPr>
        <w:pStyle w:val="TOC1"/>
      </w:pPr>
      <w:hyperlink w:anchor="_Toc317106160" w:history="1">
        <w:r w:rsidR="00651F58" w:rsidRPr="00EC3B6B">
          <w:rPr>
            <w:rStyle w:val="Hyperlink"/>
            <w:rFonts w:cs="Calibri"/>
            <w:color w:val="auto"/>
          </w:rPr>
          <w:t>3.Purpose of the Confidential Close Call</w:t>
        </w:r>
        <w:r w:rsidR="00422843" w:rsidRPr="00EC3B6B">
          <w:rPr>
            <w:rStyle w:val="Hyperlink"/>
            <w:rFonts w:cs="Calibri"/>
            <w:color w:val="auto"/>
          </w:rPr>
          <w:t xml:space="preserve"> Safety</w:t>
        </w:r>
        <w:r w:rsidR="00651F58" w:rsidRPr="00EC3B6B">
          <w:rPr>
            <w:rStyle w:val="Hyperlink"/>
            <w:rFonts w:cs="Calibri"/>
            <w:color w:val="auto"/>
          </w:rPr>
          <w:t xml:space="preserve"> Reporting System</w:t>
        </w:r>
        <w:r w:rsidR="00651F58" w:rsidRPr="00EC3B6B">
          <w:rPr>
            <w:webHidden/>
          </w:rPr>
          <w:tab/>
          <w:t>B-</w:t>
        </w:r>
        <w:r w:rsidR="001E6003" w:rsidRPr="00EC3B6B">
          <w:rPr>
            <w:webHidden/>
          </w:rPr>
          <w:fldChar w:fldCharType="begin"/>
        </w:r>
        <w:r w:rsidR="00651F58" w:rsidRPr="00EC3B6B">
          <w:rPr>
            <w:webHidden/>
          </w:rPr>
          <w:instrText xml:space="preserve"> PAGEREF _Toc317106160 \h </w:instrText>
        </w:r>
        <w:r w:rsidR="001E6003" w:rsidRPr="00EC3B6B">
          <w:rPr>
            <w:webHidden/>
          </w:rPr>
        </w:r>
        <w:r w:rsidR="001E6003" w:rsidRPr="00EC3B6B">
          <w:rPr>
            <w:webHidden/>
          </w:rPr>
          <w:fldChar w:fldCharType="separate"/>
        </w:r>
        <w:r w:rsidR="00517329" w:rsidRPr="00EC3B6B">
          <w:rPr>
            <w:webHidden/>
          </w:rPr>
          <w:t>3</w:t>
        </w:r>
        <w:r w:rsidR="001E6003" w:rsidRPr="00EC3B6B">
          <w:rPr>
            <w:webHidden/>
          </w:rPr>
          <w:fldChar w:fldCharType="end"/>
        </w:r>
      </w:hyperlink>
    </w:p>
    <w:p w:rsidR="00651F58" w:rsidRPr="00EC3B6B" w:rsidRDefault="000F6831" w:rsidP="00EC3B6B">
      <w:pPr>
        <w:pStyle w:val="TOC1"/>
      </w:pPr>
      <w:hyperlink w:anchor="_Toc317106162" w:history="1">
        <w:r w:rsidR="00651F58" w:rsidRPr="00EC3B6B">
          <w:rPr>
            <w:rStyle w:val="Hyperlink"/>
            <w:rFonts w:cs="Calibri"/>
            <w:color w:val="auto"/>
          </w:rPr>
          <w:t xml:space="preserve">4.Scope of the Close Call </w:t>
        </w:r>
        <w:r w:rsidR="0036201E" w:rsidRPr="00EC3B6B">
          <w:rPr>
            <w:rStyle w:val="Hyperlink"/>
            <w:rFonts w:cs="Calibri"/>
            <w:color w:val="auto"/>
          </w:rPr>
          <w:t xml:space="preserve">Safety Reporting System </w:t>
        </w:r>
        <w:r w:rsidR="00F149DF" w:rsidRPr="00EC3B6B">
          <w:rPr>
            <w:rStyle w:val="Hyperlink"/>
            <w:rFonts w:cs="Calibri"/>
            <w:color w:val="auto"/>
          </w:rPr>
          <w:t>Pilot</w:t>
        </w:r>
        <w:r w:rsidR="00651F58" w:rsidRPr="00EC3B6B">
          <w:rPr>
            <w:rStyle w:val="Hyperlink"/>
            <w:rFonts w:cs="Calibri"/>
            <w:color w:val="auto"/>
          </w:rPr>
          <w:t xml:space="preserve"> Project</w:t>
        </w:r>
        <w:r w:rsidR="00651F58" w:rsidRPr="00EC3B6B">
          <w:rPr>
            <w:webHidden/>
          </w:rPr>
          <w:tab/>
          <w:t>B-</w:t>
        </w:r>
        <w:r w:rsidR="001E6003" w:rsidRPr="00EC3B6B">
          <w:rPr>
            <w:webHidden/>
          </w:rPr>
          <w:fldChar w:fldCharType="begin"/>
        </w:r>
        <w:r w:rsidR="00651F58" w:rsidRPr="00EC3B6B">
          <w:rPr>
            <w:webHidden/>
          </w:rPr>
          <w:instrText xml:space="preserve"> PAGEREF _Toc317106162 \h </w:instrText>
        </w:r>
        <w:r w:rsidR="001E6003" w:rsidRPr="00EC3B6B">
          <w:rPr>
            <w:webHidden/>
          </w:rPr>
        </w:r>
        <w:r w:rsidR="001E6003" w:rsidRPr="00EC3B6B">
          <w:rPr>
            <w:webHidden/>
          </w:rPr>
          <w:fldChar w:fldCharType="separate"/>
        </w:r>
        <w:r w:rsidR="00517329" w:rsidRPr="00EC3B6B">
          <w:rPr>
            <w:webHidden/>
          </w:rPr>
          <w:t>4</w:t>
        </w:r>
        <w:r w:rsidR="001E6003" w:rsidRPr="00EC3B6B">
          <w:rPr>
            <w:webHidden/>
          </w:rPr>
          <w:fldChar w:fldCharType="end"/>
        </w:r>
      </w:hyperlink>
    </w:p>
    <w:p w:rsidR="00651F58" w:rsidRPr="00EC3B6B" w:rsidRDefault="000F6831" w:rsidP="00EC3B6B">
      <w:pPr>
        <w:pStyle w:val="TOC1"/>
      </w:pPr>
      <w:hyperlink w:anchor="_Toc317106163" w:history="1">
        <w:r w:rsidR="00651F58" w:rsidRPr="00EC3B6B">
          <w:rPr>
            <w:rStyle w:val="Hyperlink"/>
            <w:rFonts w:cs="Calibri"/>
            <w:color w:val="auto"/>
          </w:rPr>
          <w:t xml:space="preserve">5.Close Call </w:t>
        </w:r>
        <w:r w:rsidR="0036201E" w:rsidRPr="00EC3B6B">
          <w:rPr>
            <w:rStyle w:val="Hyperlink"/>
            <w:rFonts w:cs="Calibri"/>
            <w:color w:val="auto"/>
          </w:rPr>
          <w:t xml:space="preserve">Safety Reporting System </w:t>
        </w:r>
        <w:r w:rsidR="00F149DF" w:rsidRPr="00EC3B6B">
          <w:rPr>
            <w:rStyle w:val="Hyperlink"/>
            <w:rFonts w:cs="Calibri"/>
            <w:color w:val="auto"/>
          </w:rPr>
          <w:t>Pilot</w:t>
        </w:r>
        <w:r w:rsidR="00651F58" w:rsidRPr="00EC3B6B">
          <w:rPr>
            <w:rStyle w:val="Hyperlink"/>
            <w:rFonts w:cs="Calibri"/>
            <w:color w:val="auto"/>
          </w:rPr>
          <w:t xml:space="preserve"> Project Description</w:t>
        </w:r>
        <w:r w:rsidR="00651F58" w:rsidRPr="00EC3B6B">
          <w:rPr>
            <w:webHidden/>
          </w:rPr>
          <w:tab/>
          <w:t>B-</w:t>
        </w:r>
        <w:r w:rsidR="00607818" w:rsidRPr="00EC3B6B">
          <w:rPr>
            <w:webHidden/>
          </w:rPr>
          <w:t>4</w:t>
        </w:r>
      </w:hyperlink>
    </w:p>
    <w:p w:rsidR="00651F58" w:rsidRPr="00EC3B6B" w:rsidRDefault="000F6831" w:rsidP="00EC3B6B">
      <w:pPr>
        <w:pStyle w:val="TOC1"/>
      </w:pPr>
      <w:hyperlink w:anchor="_Toc317106167" w:history="1">
        <w:r w:rsidR="00651F58" w:rsidRPr="00EC3B6B">
          <w:rPr>
            <w:rStyle w:val="Hyperlink"/>
            <w:rFonts w:cs="Calibri"/>
            <w:color w:val="auto"/>
          </w:rPr>
          <w:t>6.Eligibility</w:t>
        </w:r>
        <w:r w:rsidR="00651F58" w:rsidRPr="00EC3B6B">
          <w:rPr>
            <w:webHidden/>
          </w:rPr>
          <w:tab/>
          <w:t>B-</w:t>
        </w:r>
        <w:r w:rsidR="00607818" w:rsidRPr="00EC3B6B">
          <w:rPr>
            <w:webHidden/>
          </w:rPr>
          <w:t>7</w:t>
        </w:r>
      </w:hyperlink>
    </w:p>
    <w:p w:rsidR="00651F58" w:rsidRPr="00EC3B6B" w:rsidRDefault="000F6831" w:rsidP="00EC3B6B">
      <w:pPr>
        <w:pStyle w:val="TOC1"/>
      </w:pPr>
      <w:hyperlink w:anchor="_Toc317106168" w:history="1">
        <w:r w:rsidR="00651F58" w:rsidRPr="00EC3B6B">
          <w:rPr>
            <w:rStyle w:val="Hyperlink"/>
            <w:rFonts w:cs="Calibri"/>
            <w:color w:val="auto"/>
          </w:rPr>
          <w:t>7.Reporting Procedures</w:t>
        </w:r>
        <w:r w:rsidR="00651F58" w:rsidRPr="00EC3B6B">
          <w:rPr>
            <w:webHidden/>
          </w:rPr>
          <w:tab/>
          <w:t>B-</w:t>
        </w:r>
        <w:r w:rsidR="00607818" w:rsidRPr="00EC3B6B">
          <w:rPr>
            <w:webHidden/>
          </w:rPr>
          <w:t>7</w:t>
        </w:r>
      </w:hyperlink>
    </w:p>
    <w:p w:rsidR="00651F58" w:rsidRPr="00EC3B6B" w:rsidRDefault="000F6831" w:rsidP="00EC3B6B">
      <w:pPr>
        <w:pStyle w:val="TOC1"/>
      </w:pPr>
      <w:hyperlink w:anchor="_Toc317106172" w:history="1">
        <w:r w:rsidR="00651F58" w:rsidRPr="00EC3B6B">
          <w:rPr>
            <w:rStyle w:val="Hyperlink"/>
            <w:rFonts w:cs="Calibri"/>
            <w:color w:val="auto"/>
          </w:rPr>
          <w:t>8.Confidentiality</w:t>
        </w:r>
        <w:r w:rsidR="00651F58" w:rsidRPr="00EC3B6B">
          <w:rPr>
            <w:webHidden/>
          </w:rPr>
          <w:tab/>
          <w:t>B-</w:t>
        </w:r>
        <w:r w:rsidR="00607818" w:rsidRPr="00EC3B6B">
          <w:rPr>
            <w:webHidden/>
          </w:rPr>
          <w:t>8</w:t>
        </w:r>
      </w:hyperlink>
    </w:p>
    <w:p w:rsidR="00651F58" w:rsidRPr="00EC3B6B" w:rsidRDefault="000F6831" w:rsidP="00EC3B6B">
      <w:pPr>
        <w:pStyle w:val="TOC1"/>
      </w:pPr>
      <w:hyperlink w:anchor="_Toc317106173" w:history="1">
        <w:r w:rsidR="00651F58" w:rsidRPr="00EC3B6B">
          <w:rPr>
            <w:rStyle w:val="Hyperlink"/>
            <w:rFonts w:cs="Calibri"/>
            <w:color w:val="auto"/>
          </w:rPr>
          <w:t>9.Protection from RTA Discipline and FTA/SSO Enforcement</w:t>
        </w:r>
        <w:r w:rsidR="00651F58" w:rsidRPr="00EC3B6B">
          <w:rPr>
            <w:webHidden/>
          </w:rPr>
          <w:tab/>
          <w:t>B-</w:t>
        </w:r>
        <w:r w:rsidR="00607818" w:rsidRPr="00EC3B6B">
          <w:rPr>
            <w:webHidden/>
          </w:rPr>
          <w:t>9</w:t>
        </w:r>
      </w:hyperlink>
    </w:p>
    <w:p w:rsidR="00651F58" w:rsidRPr="00EC3B6B" w:rsidRDefault="000F6831" w:rsidP="00EC3B6B">
      <w:pPr>
        <w:pStyle w:val="TOC1"/>
      </w:pPr>
      <w:hyperlink w:anchor="_Toc317106178" w:history="1">
        <w:r w:rsidR="00651F58" w:rsidRPr="00EC3B6B">
          <w:rPr>
            <w:rStyle w:val="Hyperlink"/>
            <w:rFonts w:cs="Calibri"/>
            <w:color w:val="auto"/>
          </w:rPr>
          <w:t>10.Use of Data</w:t>
        </w:r>
        <w:r w:rsidR="00651F58" w:rsidRPr="00EC3B6B">
          <w:rPr>
            <w:webHidden/>
          </w:rPr>
          <w:tab/>
          <w:t>B-</w:t>
        </w:r>
        <w:r w:rsidR="00607818" w:rsidRPr="00EC3B6B">
          <w:rPr>
            <w:webHidden/>
          </w:rPr>
          <w:t>1</w:t>
        </w:r>
        <w:r w:rsidR="000D6633" w:rsidRPr="00EC3B6B">
          <w:rPr>
            <w:webHidden/>
          </w:rPr>
          <w:t>1</w:t>
        </w:r>
      </w:hyperlink>
    </w:p>
    <w:p w:rsidR="00651F58" w:rsidRPr="00EC3B6B" w:rsidRDefault="000F6831" w:rsidP="00EC3B6B">
      <w:pPr>
        <w:pStyle w:val="TOC1"/>
      </w:pPr>
      <w:hyperlink w:anchor="_Toc317106179" w:history="1">
        <w:r w:rsidR="00651F58" w:rsidRPr="00EC3B6B">
          <w:rPr>
            <w:rStyle w:val="Hyperlink"/>
            <w:rFonts w:cs="Calibri"/>
            <w:color w:val="auto"/>
          </w:rPr>
          <w:t>11.Corrective Actions</w:t>
        </w:r>
        <w:r w:rsidR="00651F58" w:rsidRPr="00EC3B6B">
          <w:rPr>
            <w:webHidden/>
          </w:rPr>
          <w:tab/>
          <w:t>B-</w:t>
        </w:r>
        <w:r w:rsidR="00607818" w:rsidRPr="00EC3B6B">
          <w:rPr>
            <w:webHidden/>
          </w:rPr>
          <w:t>11</w:t>
        </w:r>
      </w:hyperlink>
    </w:p>
    <w:p w:rsidR="00651F58" w:rsidRPr="00EC3B6B" w:rsidRDefault="000F6831" w:rsidP="00EC3B6B">
      <w:pPr>
        <w:pStyle w:val="TOC1"/>
      </w:pPr>
      <w:hyperlink w:anchor="_Toc317106180" w:history="1">
        <w:r w:rsidR="00651F58" w:rsidRPr="00EC3B6B">
          <w:rPr>
            <w:rStyle w:val="Hyperlink"/>
            <w:rFonts w:cs="Calibri"/>
            <w:color w:val="auto"/>
          </w:rPr>
          <w:t>12.Stakeholders’ Responsibilities in Support of the MOU</w:t>
        </w:r>
        <w:r w:rsidR="00651F58" w:rsidRPr="00EC3B6B">
          <w:rPr>
            <w:webHidden/>
          </w:rPr>
          <w:tab/>
          <w:t>B-</w:t>
        </w:r>
        <w:r w:rsidR="00607818" w:rsidRPr="00EC3B6B">
          <w:rPr>
            <w:webHidden/>
          </w:rPr>
          <w:t>1</w:t>
        </w:r>
        <w:r w:rsidR="000D6633" w:rsidRPr="00EC3B6B">
          <w:rPr>
            <w:webHidden/>
          </w:rPr>
          <w:t>1</w:t>
        </w:r>
      </w:hyperlink>
    </w:p>
    <w:p w:rsidR="00651F58" w:rsidRPr="00EC3B6B" w:rsidRDefault="000F6831" w:rsidP="00EC3B6B">
      <w:pPr>
        <w:pStyle w:val="TOC1"/>
      </w:pPr>
      <w:hyperlink w:anchor="_Toc317106186" w:history="1">
        <w:r w:rsidR="00651F58" w:rsidRPr="00EC3B6B">
          <w:rPr>
            <w:rStyle w:val="Hyperlink"/>
            <w:rFonts w:cs="Calibri"/>
            <w:color w:val="auto"/>
          </w:rPr>
          <w:t>13.Modifications</w:t>
        </w:r>
        <w:r w:rsidR="00651F58" w:rsidRPr="00EC3B6B">
          <w:rPr>
            <w:webHidden/>
          </w:rPr>
          <w:tab/>
          <w:t>B-</w:t>
        </w:r>
        <w:r w:rsidR="001E6003" w:rsidRPr="00EC3B6B">
          <w:rPr>
            <w:webHidden/>
          </w:rPr>
          <w:fldChar w:fldCharType="begin"/>
        </w:r>
        <w:r w:rsidR="00651F58" w:rsidRPr="00EC3B6B">
          <w:rPr>
            <w:webHidden/>
          </w:rPr>
          <w:instrText xml:space="preserve"> PAGEREF _Toc317106186 \h </w:instrText>
        </w:r>
        <w:r w:rsidR="001E6003" w:rsidRPr="00EC3B6B">
          <w:rPr>
            <w:webHidden/>
          </w:rPr>
        </w:r>
        <w:r w:rsidR="001E6003" w:rsidRPr="00EC3B6B">
          <w:rPr>
            <w:webHidden/>
          </w:rPr>
          <w:fldChar w:fldCharType="separate"/>
        </w:r>
        <w:r w:rsidR="00517329" w:rsidRPr="00EC3B6B">
          <w:rPr>
            <w:webHidden/>
          </w:rPr>
          <w:t>18</w:t>
        </w:r>
        <w:r w:rsidR="001E6003" w:rsidRPr="00EC3B6B">
          <w:rPr>
            <w:webHidden/>
          </w:rPr>
          <w:fldChar w:fldCharType="end"/>
        </w:r>
      </w:hyperlink>
    </w:p>
    <w:p w:rsidR="00651F58" w:rsidRPr="00EC3B6B" w:rsidRDefault="000F6831" w:rsidP="00EC3B6B">
      <w:pPr>
        <w:pStyle w:val="TOC1"/>
      </w:pPr>
      <w:hyperlink w:anchor="_Toc317106187" w:history="1">
        <w:r w:rsidR="00651F58" w:rsidRPr="00EC3B6B">
          <w:rPr>
            <w:rStyle w:val="Hyperlink"/>
            <w:rFonts w:cs="Calibri"/>
            <w:color w:val="auto"/>
          </w:rPr>
          <w:t>14.Project Duration</w:t>
        </w:r>
        <w:r w:rsidR="00651F58" w:rsidRPr="00EC3B6B">
          <w:rPr>
            <w:webHidden/>
          </w:rPr>
          <w:tab/>
          <w:t>B-</w:t>
        </w:r>
        <w:r w:rsidR="001E6003" w:rsidRPr="00EC3B6B">
          <w:rPr>
            <w:webHidden/>
          </w:rPr>
          <w:fldChar w:fldCharType="begin"/>
        </w:r>
        <w:r w:rsidR="00651F58" w:rsidRPr="00EC3B6B">
          <w:rPr>
            <w:webHidden/>
          </w:rPr>
          <w:instrText xml:space="preserve"> PAGEREF _Toc317106187 \h </w:instrText>
        </w:r>
        <w:r w:rsidR="001E6003" w:rsidRPr="00EC3B6B">
          <w:rPr>
            <w:webHidden/>
          </w:rPr>
        </w:r>
        <w:r w:rsidR="001E6003" w:rsidRPr="00EC3B6B">
          <w:rPr>
            <w:webHidden/>
          </w:rPr>
          <w:fldChar w:fldCharType="separate"/>
        </w:r>
        <w:r w:rsidR="00517329" w:rsidRPr="00EC3B6B">
          <w:rPr>
            <w:webHidden/>
          </w:rPr>
          <w:t>18</w:t>
        </w:r>
        <w:r w:rsidR="001E6003" w:rsidRPr="00EC3B6B">
          <w:rPr>
            <w:webHidden/>
          </w:rPr>
          <w:fldChar w:fldCharType="end"/>
        </w:r>
      </w:hyperlink>
    </w:p>
    <w:p w:rsidR="00651F58" w:rsidRPr="00EC3B6B" w:rsidRDefault="000F6831" w:rsidP="00EC3B6B">
      <w:pPr>
        <w:pStyle w:val="TOC1"/>
      </w:pPr>
      <w:hyperlink w:anchor="_Toc317106188" w:history="1">
        <w:r w:rsidR="00651F58" w:rsidRPr="00EC3B6B">
          <w:rPr>
            <w:rStyle w:val="Hyperlink"/>
            <w:rFonts w:cs="Calibri"/>
            <w:color w:val="auto"/>
          </w:rPr>
          <w:t>15.Record Keeping</w:t>
        </w:r>
        <w:r w:rsidR="00651F58" w:rsidRPr="00EC3B6B">
          <w:rPr>
            <w:webHidden/>
          </w:rPr>
          <w:tab/>
          <w:t>B-</w:t>
        </w:r>
        <w:r w:rsidR="001E6003" w:rsidRPr="00EC3B6B">
          <w:rPr>
            <w:webHidden/>
          </w:rPr>
          <w:fldChar w:fldCharType="begin"/>
        </w:r>
        <w:r w:rsidR="00651F58" w:rsidRPr="00EC3B6B">
          <w:rPr>
            <w:webHidden/>
          </w:rPr>
          <w:instrText xml:space="preserve"> PAGEREF _Toc317106188 \h </w:instrText>
        </w:r>
        <w:r w:rsidR="001E6003" w:rsidRPr="00EC3B6B">
          <w:rPr>
            <w:webHidden/>
          </w:rPr>
        </w:r>
        <w:r w:rsidR="001E6003" w:rsidRPr="00EC3B6B">
          <w:rPr>
            <w:webHidden/>
          </w:rPr>
          <w:fldChar w:fldCharType="separate"/>
        </w:r>
        <w:r w:rsidR="00517329" w:rsidRPr="00EC3B6B">
          <w:rPr>
            <w:webHidden/>
          </w:rPr>
          <w:t>19</w:t>
        </w:r>
        <w:r w:rsidR="001E6003" w:rsidRPr="00EC3B6B">
          <w:rPr>
            <w:webHidden/>
          </w:rPr>
          <w:fldChar w:fldCharType="end"/>
        </w:r>
      </w:hyperlink>
    </w:p>
    <w:p w:rsidR="00651F58" w:rsidRPr="00EC3B6B" w:rsidRDefault="000F6831" w:rsidP="00EC3B6B">
      <w:pPr>
        <w:pStyle w:val="TOC1"/>
      </w:pPr>
      <w:hyperlink w:anchor="_Toc317106189" w:history="1">
        <w:r w:rsidR="00651F58" w:rsidRPr="00EC3B6B">
          <w:rPr>
            <w:rStyle w:val="Hyperlink"/>
            <w:rFonts w:cs="Calibri"/>
            <w:color w:val="auto"/>
          </w:rPr>
          <w:t>16.Funding</w:t>
        </w:r>
        <w:r w:rsidR="00651F58" w:rsidRPr="00EC3B6B">
          <w:rPr>
            <w:webHidden/>
          </w:rPr>
          <w:tab/>
          <w:t>B-</w:t>
        </w:r>
        <w:r w:rsidR="001E6003" w:rsidRPr="00EC3B6B">
          <w:rPr>
            <w:webHidden/>
          </w:rPr>
          <w:fldChar w:fldCharType="begin"/>
        </w:r>
        <w:r w:rsidR="00651F58" w:rsidRPr="00EC3B6B">
          <w:rPr>
            <w:webHidden/>
          </w:rPr>
          <w:instrText xml:space="preserve"> PAGEREF _Toc317106189 \h </w:instrText>
        </w:r>
        <w:r w:rsidR="001E6003" w:rsidRPr="00EC3B6B">
          <w:rPr>
            <w:webHidden/>
          </w:rPr>
        </w:r>
        <w:r w:rsidR="001E6003" w:rsidRPr="00EC3B6B">
          <w:rPr>
            <w:webHidden/>
          </w:rPr>
          <w:fldChar w:fldCharType="separate"/>
        </w:r>
        <w:r w:rsidR="00517329" w:rsidRPr="00EC3B6B">
          <w:rPr>
            <w:webHidden/>
          </w:rPr>
          <w:t>19</w:t>
        </w:r>
        <w:r w:rsidR="001E6003" w:rsidRPr="00EC3B6B">
          <w:rPr>
            <w:webHidden/>
          </w:rPr>
          <w:fldChar w:fldCharType="end"/>
        </w:r>
      </w:hyperlink>
    </w:p>
    <w:p w:rsidR="00651F58" w:rsidRPr="00EC3B6B" w:rsidRDefault="000F6831" w:rsidP="00EC3B6B">
      <w:pPr>
        <w:pStyle w:val="TOC1"/>
      </w:pPr>
      <w:hyperlink w:anchor="_Toc317106190" w:history="1">
        <w:r w:rsidR="00651F58" w:rsidRPr="00EC3B6B">
          <w:rPr>
            <w:rStyle w:val="Hyperlink"/>
            <w:rFonts w:cs="Calibri"/>
            <w:color w:val="auto"/>
          </w:rPr>
          <w:t>17.Responsible Officials</w:t>
        </w:r>
        <w:r w:rsidR="00651F58" w:rsidRPr="00EC3B6B">
          <w:rPr>
            <w:webHidden/>
          </w:rPr>
          <w:tab/>
          <w:t>B-</w:t>
        </w:r>
        <w:r w:rsidR="001E6003" w:rsidRPr="00EC3B6B">
          <w:rPr>
            <w:webHidden/>
          </w:rPr>
          <w:fldChar w:fldCharType="begin"/>
        </w:r>
        <w:r w:rsidR="00651F58" w:rsidRPr="00EC3B6B">
          <w:rPr>
            <w:webHidden/>
          </w:rPr>
          <w:instrText xml:space="preserve"> PAGEREF _Toc317106190 \h </w:instrText>
        </w:r>
        <w:r w:rsidR="001E6003" w:rsidRPr="00EC3B6B">
          <w:rPr>
            <w:webHidden/>
          </w:rPr>
        </w:r>
        <w:r w:rsidR="001E6003" w:rsidRPr="00EC3B6B">
          <w:rPr>
            <w:webHidden/>
          </w:rPr>
          <w:fldChar w:fldCharType="separate"/>
        </w:r>
        <w:r w:rsidR="00517329" w:rsidRPr="00EC3B6B">
          <w:rPr>
            <w:webHidden/>
          </w:rPr>
          <w:t>19</w:t>
        </w:r>
        <w:r w:rsidR="001E6003" w:rsidRPr="00EC3B6B">
          <w:rPr>
            <w:webHidden/>
          </w:rPr>
          <w:fldChar w:fldCharType="end"/>
        </w:r>
      </w:hyperlink>
    </w:p>
    <w:p w:rsidR="00651F58" w:rsidRPr="00651F58" w:rsidRDefault="000F6831" w:rsidP="00EC3B6B">
      <w:pPr>
        <w:pStyle w:val="TOC1"/>
      </w:pPr>
      <w:hyperlink w:anchor="_Toc317106191" w:history="1">
        <w:r w:rsidR="00651F58" w:rsidRPr="00EC3B6B">
          <w:rPr>
            <w:rStyle w:val="Hyperlink"/>
            <w:rFonts w:cs="Calibri"/>
            <w:color w:val="auto"/>
          </w:rPr>
          <w:t>18.</w:t>
        </w:r>
        <w:r w:rsidR="004333D4" w:rsidRPr="00EC3B6B">
          <w:rPr>
            <w:rStyle w:val="Hyperlink"/>
            <w:rFonts w:cs="Calibri"/>
            <w:color w:val="auto"/>
          </w:rPr>
          <w:t>Cooperating Organization</w:t>
        </w:r>
        <w:r w:rsidR="00651F58" w:rsidRPr="00EC3B6B">
          <w:rPr>
            <w:rStyle w:val="Hyperlink"/>
            <w:rFonts w:cs="Calibri"/>
            <w:color w:val="auto"/>
          </w:rPr>
          <w:t xml:space="preserve"> Signatures</w:t>
        </w:r>
        <w:r w:rsidR="00651F58" w:rsidRPr="00EC3B6B">
          <w:rPr>
            <w:webHidden/>
          </w:rPr>
          <w:tab/>
          <w:t>B-</w:t>
        </w:r>
        <w:r w:rsidR="00607818" w:rsidRPr="00EC3B6B">
          <w:rPr>
            <w:webHidden/>
          </w:rPr>
          <w:t>19</w:t>
        </w:r>
      </w:hyperlink>
    </w:p>
    <w:p w:rsidR="005B7F58" w:rsidRPr="00DB6FFF" w:rsidRDefault="005B7F58" w:rsidP="00607818">
      <w:pPr>
        <w:pStyle w:val="Heading1"/>
        <w:numPr>
          <w:ilvl w:val="0"/>
          <w:numId w:val="14"/>
        </w:numPr>
        <w:spacing w:before="360" w:after="240" w:line="240" w:lineRule="auto"/>
        <w:rPr>
          <w:rFonts w:ascii="Calibri" w:hAnsi="Calibri" w:cs="Calibri"/>
        </w:rPr>
      </w:pPr>
      <w:r w:rsidRPr="00DB6FFF">
        <w:rPr>
          <w:rFonts w:cs="Calibri"/>
        </w:rPr>
        <w:br w:type="page"/>
      </w:r>
      <w:bookmarkStart w:id="66" w:name="_Toc75579413"/>
      <w:bookmarkStart w:id="67" w:name="_Toc316336512"/>
      <w:bookmarkStart w:id="68" w:name="_Toc317097316"/>
      <w:bookmarkStart w:id="69" w:name="_Toc317106158"/>
      <w:r w:rsidRPr="00DB6FFF">
        <w:rPr>
          <w:rFonts w:ascii="Calibri" w:hAnsi="Calibri" w:cs="Calibri"/>
        </w:rPr>
        <w:lastRenderedPageBreak/>
        <w:t>Purpose of the Model Memorandum of Understanding</w:t>
      </w:r>
      <w:bookmarkEnd w:id="66"/>
      <w:bookmarkEnd w:id="67"/>
      <w:bookmarkEnd w:id="68"/>
      <w:bookmarkEnd w:id="69"/>
    </w:p>
    <w:p w:rsidR="005B7F58" w:rsidRPr="00DB6FFF" w:rsidRDefault="005B7F58" w:rsidP="005B7F58">
      <w:pPr>
        <w:pStyle w:val="BodyText"/>
        <w:keepNext/>
        <w:keepLines/>
        <w:rPr>
          <w:rFonts w:ascii="Calibri" w:hAnsi="Calibri" w:cs="Calibri"/>
        </w:rPr>
      </w:pPr>
      <w:r w:rsidRPr="00DB6FFF">
        <w:rPr>
          <w:rFonts w:ascii="Calibri" w:hAnsi="Calibri" w:cs="Calibri"/>
        </w:rPr>
        <w:t>The U.S. Federal Transit Administration (FTA) and the transit industry share an interest in improving railroad safety. As part of its mission, FTA is sponsoring the Confidential</w:t>
      </w:r>
      <w:r w:rsidR="00AC33F6">
        <w:rPr>
          <w:rFonts w:ascii="Calibri" w:hAnsi="Calibri" w:cs="Calibri"/>
        </w:rPr>
        <w:t>, Non-Punitive,</w:t>
      </w:r>
      <w:r w:rsidRPr="00DB6FFF">
        <w:rPr>
          <w:rFonts w:ascii="Calibri" w:hAnsi="Calibri" w:cs="Calibri"/>
        </w:rPr>
        <w:t xml:space="preserve"> Close Call </w:t>
      </w:r>
      <w:r w:rsidR="00AC33F6">
        <w:rPr>
          <w:rFonts w:ascii="Calibri" w:hAnsi="Calibri" w:cs="Calibri"/>
        </w:rPr>
        <w:t xml:space="preserve">Safety </w:t>
      </w:r>
      <w:r w:rsidRPr="00DB6FFF">
        <w:rPr>
          <w:rFonts w:ascii="Calibri" w:hAnsi="Calibri" w:cs="Calibri"/>
        </w:rPr>
        <w:t xml:space="preserve">Reporting System </w:t>
      </w:r>
      <w:r w:rsidR="00AA3062">
        <w:rPr>
          <w:rFonts w:ascii="Calibri" w:hAnsi="Calibri" w:cs="Calibri"/>
        </w:rPr>
        <w:t>p</w:t>
      </w:r>
      <w:r w:rsidR="00F149DF">
        <w:rPr>
          <w:rFonts w:ascii="Calibri" w:hAnsi="Calibri" w:cs="Calibri"/>
        </w:rPr>
        <w:t>ilot</w:t>
      </w:r>
      <w:r w:rsidR="00AA3062">
        <w:rPr>
          <w:rFonts w:ascii="Calibri" w:hAnsi="Calibri" w:cs="Calibri"/>
        </w:rPr>
        <w:t xml:space="preserve"> p</w:t>
      </w:r>
      <w:r w:rsidRPr="00DB6FFF">
        <w:rPr>
          <w:rFonts w:ascii="Calibri" w:hAnsi="Calibri" w:cs="Calibri"/>
        </w:rPr>
        <w:t>roject to demonstrate the effectiveness of a confidential</w:t>
      </w:r>
      <w:r w:rsidR="00AC33F6">
        <w:rPr>
          <w:rFonts w:ascii="Calibri" w:hAnsi="Calibri" w:cs="Calibri"/>
        </w:rPr>
        <w:t>, non-punitive</w:t>
      </w:r>
      <w:r w:rsidRPr="00DB6FFF">
        <w:rPr>
          <w:rFonts w:ascii="Calibri" w:hAnsi="Calibri" w:cs="Calibri"/>
        </w:rPr>
        <w:t xml:space="preserve"> close call reporting system for the rail</w:t>
      </w:r>
      <w:r w:rsidR="00AA3062">
        <w:rPr>
          <w:rFonts w:ascii="Calibri" w:hAnsi="Calibri" w:cs="Calibri"/>
        </w:rPr>
        <w:t xml:space="preserve"> transit</w:t>
      </w:r>
      <w:r w:rsidRPr="00DB6FFF">
        <w:rPr>
          <w:rFonts w:ascii="Calibri" w:hAnsi="Calibri" w:cs="Calibri"/>
        </w:rPr>
        <w:t xml:space="preserve"> industry. This system will capture data that would otherwise not be captured as well as provide </w:t>
      </w:r>
      <w:r w:rsidR="00AC33F6">
        <w:rPr>
          <w:rFonts w:ascii="Calibri" w:hAnsi="Calibri" w:cs="Calibri"/>
        </w:rPr>
        <w:t xml:space="preserve">rail </w:t>
      </w:r>
      <w:r w:rsidRPr="00DB6FFF">
        <w:rPr>
          <w:rFonts w:ascii="Calibri" w:hAnsi="Calibri" w:cs="Calibri"/>
        </w:rPr>
        <w:t>transit agencies (RTA) and FTA with opportunities to identify safety issues that require corrective action.</w:t>
      </w:r>
    </w:p>
    <w:p w:rsidR="005B7F58" w:rsidRPr="00DB6FFF" w:rsidRDefault="005B7F58" w:rsidP="005B7F58">
      <w:pPr>
        <w:pStyle w:val="BodyText"/>
        <w:keepNext/>
        <w:keepLines/>
        <w:rPr>
          <w:rFonts w:ascii="Calibri" w:hAnsi="Calibri" w:cs="Calibri"/>
        </w:rPr>
      </w:pPr>
      <w:r w:rsidRPr="00DB6FFF">
        <w:rPr>
          <w:rFonts w:ascii="Calibri" w:hAnsi="Calibri" w:cs="Calibri"/>
        </w:rPr>
        <w:t xml:space="preserve">This </w:t>
      </w:r>
      <w:r w:rsidR="00AC33F6">
        <w:rPr>
          <w:rFonts w:ascii="Calibri" w:hAnsi="Calibri" w:cs="Calibri"/>
        </w:rPr>
        <w:t>m</w:t>
      </w:r>
      <w:r w:rsidRPr="00DB6FFF">
        <w:rPr>
          <w:rFonts w:ascii="Calibri" w:hAnsi="Calibri" w:cs="Calibri"/>
        </w:rPr>
        <w:t>odel Memorandum of Understanding (MOU) describes the</w:t>
      </w:r>
      <w:r w:rsidR="005828F4">
        <w:rPr>
          <w:rFonts w:ascii="Calibri" w:hAnsi="Calibri" w:cs="Calibri"/>
        </w:rPr>
        <w:t xml:space="preserve"> preferred</w:t>
      </w:r>
      <w:r w:rsidRPr="00DB6FFF">
        <w:rPr>
          <w:rFonts w:ascii="Calibri" w:hAnsi="Calibri" w:cs="Calibri"/>
        </w:rPr>
        <w:t xml:space="preserve"> provisions of the close call </w:t>
      </w:r>
      <w:r w:rsidR="00F149DF">
        <w:rPr>
          <w:rFonts w:ascii="Calibri" w:hAnsi="Calibri" w:cs="Calibri"/>
        </w:rPr>
        <w:t>pilot</w:t>
      </w:r>
      <w:r w:rsidRPr="00DB6FFF">
        <w:rPr>
          <w:rFonts w:ascii="Calibri" w:hAnsi="Calibri" w:cs="Calibri"/>
        </w:rPr>
        <w:t xml:space="preserve"> project and explains the rights, roles, and responsibilities of the participants under the project.</w:t>
      </w:r>
      <w:r w:rsidR="00C84998">
        <w:rPr>
          <w:rFonts w:ascii="Calibri" w:hAnsi="Calibri" w:cs="Calibri"/>
        </w:rPr>
        <w:t xml:space="preserve"> It describes the ideal system</w:t>
      </w:r>
      <w:r w:rsidR="005828F4">
        <w:rPr>
          <w:rFonts w:ascii="Calibri" w:hAnsi="Calibri" w:cs="Calibri"/>
        </w:rPr>
        <w:t xml:space="preserve"> of how a confidential, non-punitive, close call safety reporting system should be implemented</w:t>
      </w:r>
      <w:r w:rsidR="00C84998">
        <w:rPr>
          <w:rFonts w:ascii="Calibri" w:hAnsi="Calibri" w:cs="Calibri"/>
        </w:rPr>
        <w:t xml:space="preserve">. However, due to the </w:t>
      </w:r>
      <w:r w:rsidR="005828F4">
        <w:rPr>
          <w:rFonts w:ascii="Calibri" w:hAnsi="Calibri" w:cs="Calibri"/>
        </w:rPr>
        <w:t xml:space="preserve">differences between transit systems, this model MOU should be reviewed thoroughly and adapted as necessary. </w:t>
      </w:r>
    </w:p>
    <w:p w:rsidR="005B7F58" w:rsidRPr="00DB6FFF" w:rsidRDefault="005B7F58" w:rsidP="005B7F58">
      <w:pPr>
        <w:pStyle w:val="BodyText"/>
        <w:keepNext/>
        <w:keepLines/>
        <w:rPr>
          <w:rFonts w:ascii="Calibri" w:hAnsi="Calibri" w:cs="Calibri"/>
        </w:rPr>
      </w:pPr>
      <w:r w:rsidRPr="00DB6FFF">
        <w:rPr>
          <w:rFonts w:ascii="Calibri" w:hAnsi="Calibri" w:cs="Calibri"/>
        </w:rPr>
        <w:t xml:space="preserve">The purpose of this MOU is to gain full agreement from all parties to cooperate in the close call </w:t>
      </w:r>
      <w:r w:rsidR="00AC33F6">
        <w:rPr>
          <w:rFonts w:ascii="Calibri" w:hAnsi="Calibri" w:cs="Calibri"/>
        </w:rPr>
        <w:t>p</w:t>
      </w:r>
      <w:r w:rsidR="00F149DF">
        <w:rPr>
          <w:rFonts w:ascii="Calibri" w:hAnsi="Calibri" w:cs="Calibri"/>
        </w:rPr>
        <w:t>ilot</w:t>
      </w:r>
      <w:r w:rsidRPr="00DB6FFF">
        <w:rPr>
          <w:rFonts w:ascii="Calibri" w:hAnsi="Calibri" w:cs="Calibri"/>
        </w:rPr>
        <w:t xml:space="preserve"> </w:t>
      </w:r>
      <w:r w:rsidR="00AC33F6">
        <w:rPr>
          <w:rFonts w:ascii="Calibri" w:hAnsi="Calibri" w:cs="Calibri"/>
        </w:rPr>
        <w:t>p</w:t>
      </w:r>
      <w:r w:rsidRPr="00DB6FFF">
        <w:rPr>
          <w:rFonts w:ascii="Calibri" w:hAnsi="Calibri" w:cs="Calibri"/>
        </w:rPr>
        <w:t>roject. Actual implementation of the project</w:t>
      </w:r>
      <w:r w:rsidR="0027083F">
        <w:rPr>
          <w:rFonts w:ascii="Calibri" w:hAnsi="Calibri" w:cs="Calibri"/>
        </w:rPr>
        <w:t>,</w:t>
      </w:r>
      <w:r w:rsidRPr="00DB6FFF">
        <w:rPr>
          <w:rFonts w:ascii="Calibri" w:hAnsi="Calibri" w:cs="Calibri"/>
        </w:rPr>
        <w:t xml:space="preserve"> involving particular transit agencies</w:t>
      </w:r>
      <w:r w:rsidR="005828F4">
        <w:rPr>
          <w:rFonts w:ascii="Calibri" w:hAnsi="Calibri" w:cs="Calibri"/>
        </w:rPr>
        <w:t>,</w:t>
      </w:r>
      <w:r w:rsidR="00184DE3">
        <w:rPr>
          <w:rFonts w:ascii="Calibri" w:hAnsi="Calibri" w:cs="Calibri"/>
        </w:rPr>
        <w:t xml:space="preserve"> </w:t>
      </w:r>
      <w:r w:rsidRPr="00DB6FFF">
        <w:rPr>
          <w:rFonts w:ascii="Calibri" w:hAnsi="Calibri" w:cs="Calibri"/>
        </w:rPr>
        <w:t xml:space="preserve">one or more of their labor organizations </w:t>
      </w:r>
      <w:r w:rsidR="00AC33F6">
        <w:rPr>
          <w:rFonts w:ascii="Calibri" w:hAnsi="Calibri" w:cs="Calibri"/>
        </w:rPr>
        <w:t xml:space="preserve">and </w:t>
      </w:r>
      <w:r w:rsidR="005828F4">
        <w:rPr>
          <w:rFonts w:ascii="Calibri" w:hAnsi="Calibri" w:cs="Calibri"/>
        </w:rPr>
        <w:t>when appropriate</w:t>
      </w:r>
      <w:r w:rsidR="00C84998">
        <w:rPr>
          <w:rFonts w:ascii="Calibri" w:hAnsi="Calibri" w:cs="Calibri"/>
        </w:rPr>
        <w:t xml:space="preserve">, </w:t>
      </w:r>
      <w:r w:rsidR="00AC33F6">
        <w:rPr>
          <w:rFonts w:ascii="Calibri" w:hAnsi="Calibri" w:cs="Calibri"/>
        </w:rPr>
        <w:t>state safety oversight (SSO)</w:t>
      </w:r>
      <w:r w:rsidR="0027083F">
        <w:rPr>
          <w:rFonts w:ascii="Calibri" w:hAnsi="Calibri" w:cs="Calibri"/>
        </w:rPr>
        <w:t>,</w:t>
      </w:r>
      <w:r w:rsidR="00AC33F6">
        <w:rPr>
          <w:rFonts w:ascii="Calibri" w:hAnsi="Calibri" w:cs="Calibri"/>
        </w:rPr>
        <w:t xml:space="preserve"> </w:t>
      </w:r>
      <w:r w:rsidRPr="00DB6FFF">
        <w:rPr>
          <w:rFonts w:ascii="Calibri" w:hAnsi="Calibri" w:cs="Calibri"/>
        </w:rPr>
        <w:t>will be achieved through separate implementing memorandums of agreement (implementing MOUs) approved by FTA, as specified in section 12. The implementing MOUs will incorporate the various rights and responsibilities set out in this MOU</w:t>
      </w:r>
      <w:r w:rsidR="00C84998">
        <w:rPr>
          <w:rFonts w:ascii="Calibri" w:hAnsi="Calibri" w:cs="Calibri"/>
        </w:rPr>
        <w:t>, modified to meet the unique needs and circumstances of the implementing MOU stakeholders</w:t>
      </w:r>
      <w:r w:rsidR="007F3379">
        <w:rPr>
          <w:rFonts w:ascii="Calibri" w:hAnsi="Calibri" w:cs="Calibri"/>
        </w:rPr>
        <w:t>.</w:t>
      </w:r>
      <w:r w:rsidRPr="00DB6FFF">
        <w:rPr>
          <w:rFonts w:ascii="Calibri" w:hAnsi="Calibri" w:cs="Calibri"/>
        </w:rPr>
        <w:t xml:space="preserve"> </w:t>
      </w:r>
      <w:r w:rsidR="007F3379">
        <w:rPr>
          <w:rFonts w:ascii="Calibri" w:hAnsi="Calibri" w:cs="Calibri"/>
        </w:rPr>
        <w:t xml:space="preserve">They </w:t>
      </w:r>
      <w:r w:rsidRPr="00DB6FFF">
        <w:rPr>
          <w:rFonts w:ascii="Calibri" w:hAnsi="Calibri" w:cs="Calibri"/>
        </w:rPr>
        <w:t>will also contain additional provisions tailored to the needs of the participating parties, including how a</w:t>
      </w:r>
      <w:r w:rsidR="00E75C7B">
        <w:rPr>
          <w:rFonts w:ascii="Calibri" w:hAnsi="Calibri" w:cs="Calibri"/>
        </w:rPr>
        <w:t xml:space="preserve">n </w:t>
      </w:r>
      <w:r w:rsidRPr="00DB6FFF">
        <w:rPr>
          <w:rFonts w:ascii="Calibri" w:hAnsi="Calibri" w:cs="Calibri"/>
        </w:rPr>
        <w:t xml:space="preserve">RTA that is contemplating disciplinary action against one of its employees is notified that the employee is protected from such action under the implementing MOU. </w:t>
      </w:r>
    </w:p>
    <w:p w:rsidR="005B7F58" w:rsidRPr="00DB6FFF" w:rsidRDefault="005B7F58" w:rsidP="007310E6">
      <w:pPr>
        <w:pStyle w:val="Heading1"/>
        <w:numPr>
          <w:ilvl w:val="0"/>
          <w:numId w:val="14"/>
        </w:numPr>
        <w:spacing w:before="360" w:after="240" w:line="240" w:lineRule="auto"/>
        <w:rPr>
          <w:rFonts w:ascii="Calibri" w:hAnsi="Calibri" w:cs="Calibri"/>
        </w:rPr>
      </w:pPr>
      <w:bookmarkStart w:id="70" w:name="_Toc75579414"/>
      <w:bookmarkStart w:id="71" w:name="_Toc316336513"/>
      <w:bookmarkStart w:id="72" w:name="_Toc317097317"/>
      <w:bookmarkStart w:id="73" w:name="_Toc317106159"/>
      <w:r w:rsidRPr="00DB6FFF">
        <w:rPr>
          <w:rFonts w:ascii="Calibri" w:hAnsi="Calibri" w:cs="Calibri"/>
        </w:rPr>
        <w:t>Background</w:t>
      </w:r>
      <w:bookmarkEnd w:id="70"/>
      <w:bookmarkEnd w:id="71"/>
      <w:bookmarkEnd w:id="72"/>
      <w:bookmarkEnd w:id="73"/>
    </w:p>
    <w:p w:rsidR="005B7F58" w:rsidRPr="00DB6FFF" w:rsidRDefault="005B7F58" w:rsidP="005B7F58">
      <w:pPr>
        <w:pStyle w:val="BodyText"/>
        <w:keepNext/>
        <w:keepLines/>
        <w:rPr>
          <w:rFonts w:ascii="Calibri" w:hAnsi="Calibri" w:cs="Calibri"/>
        </w:rPr>
      </w:pPr>
      <w:r w:rsidRPr="00DB6FFF">
        <w:rPr>
          <w:rFonts w:ascii="Calibri" w:hAnsi="Calibri" w:cs="Calibri"/>
        </w:rPr>
        <w:t>Over the last decade, the transit industry achieved significant progress in improving the safety of transit agency operations. Current transit agency safety programs focus on collecting data primarily on reportable accidents. However, as the number of reportable events declines, accident data become less valuable in determining the sources of risk. Also, when safe outcomes do occur, there is nothing to capture the organization’s attention: safety is invisible.</w:t>
      </w:r>
    </w:p>
    <w:p w:rsidR="005B7F58" w:rsidRPr="00DB6FFF" w:rsidRDefault="005B7F58" w:rsidP="005B7F58">
      <w:pPr>
        <w:pStyle w:val="BodyText"/>
        <w:keepNext/>
        <w:keepLines/>
        <w:rPr>
          <w:rFonts w:ascii="Calibri" w:hAnsi="Calibri" w:cs="Calibri"/>
        </w:rPr>
      </w:pPr>
      <w:r w:rsidRPr="00DB6FFF">
        <w:rPr>
          <w:rFonts w:ascii="Calibri" w:hAnsi="Calibri" w:cs="Calibri"/>
        </w:rPr>
        <w:lastRenderedPageBreak/>
        <w:t>Nearly all transportation incidents are preceded by a chain of events or circumstances, any one of which might have prevented the accident if it had gone another way. In many cases, operators are aware of these “close calls</w:t>
      </w:r>
      <w:r w:rsidR="00920E2E">
        <w:rPr>
          <w:rFonts w:ascii="Calibri" w:hAnsi="Calibri" w:cs="Calibri"/>
        </w:rPr>
        <w:t>,</w:t>
      </w:r>
      <w:r w:rsidRPr="00DB6FFF">
        <w:rPr>
          <w:rFonts w:ascii="Calibri" w:hAnsi="Calibri" w:cs="Calibri"/>
        </w:rPr>
        <w:t xml:space="preserve">” and may have information that could prevent future mishaps. For example, the National Transportation </w:t>
      </w:r>
      <w:r w:rsidR="00AC33F6">
        <w:rPr>
          <w:rFonts w:ascii="Calibri" w:hAnsi="Calibri" w:cs="Calibri"/>
        </w:rPr>
        <w:t xml:space="preserve">Safety </w:t>
      </w:r>
      <w:r w:rsidRPr="00DB6FFF">
        <w:rPr>
          <w:rFonts w:ascii="Calibri" w:hAnsi="Calibri" w:cs="Calibri"/>
        </w:rPr>
        <w:t xml:space="preserve">Board (NTSB) report of the </w:t>
      </w:r>
      <w:r w:rsidR="00AC33F6">
        <w:rPr>
          <w:rFonts w:ascii="Calibri" w:hAnsi="Calibri" w:cs="Calibri"/>
        </w:rPr>
        <w:t>c</w:t>
      </w:r>
      <w:r w:rsidRPr="00DB6FFF">
        <w:rPr>
          <w:rFonts w:ascii="Calibri" w:hAnsi="Calibri" w:cs="Calibri"/>
        </w:rPr>
        <w:t xml:space="preserve">ollision and </w:t>
      </w:r>
      <w:r w:rsidR="00AC33F6">
        <w:rPr>
          <w:rFonts w:ascii="Calibri" w:hAnsi="Calibri" w:cs="Calibri"/>
        </w:rPr>
        <w:t>d</w:t>
      </w:r>
      <w:r w:rsidRPr="00DB6FFF">
        <w:rPr>
          <w:rFonts w:ascii="Calibri" w:hAnsi="Calibri" w:cs="Calibri"/>
        </w:rPr>
        <w:t xml:space="preserve">erailment of Maryland Rail Commuter </w:t>
      </w:r>
      <w:r w:rsidR="00AC33F6">
        <w:rPr>
          <w:rFonts w:ascii="Calibri" w:hAnsi="Calibri" w:cs="Calibri"/>
        </w:rPr>
        <w:t>(</w:t>
      </w:r>
      <w:r w:rsidRPr="00DB6FFF">
        <w:rPr>
          <w:rFonts w:ascii="Calibri" w:hAnsi="Calibri" w:cs="Calibri"/>
        </w:rPr>
        <w:t>MARC</w:t>
      </w:r>
      <w:r w:rsidR="00AC33F6">
        <w:rPr>
          <w:rFonts w:ascii="Calibri" w:hAnsi="Calibri" w:cs="Calibri"/>
        </w:rPr>
        <w:t>)</w:t>
      </w:r>
      <w:r w:rsidRPr="00DB6FFF">
        <w:rPr>
          <w:rFonts w:ascii="Calibri" w:hAnsi="Calibri" w:cs="Calibri"/>
        </w:rPr>
        <w:t xml:space="preserve"> Train 286 and National Railroad Passenger Corporation (Amtrak) train 29 </w:t>
      </w:r>
      <w:r w:rsidR="00AC33F6">
        <w:rPr>
          <w:rFonts w:ascii="Calibri" w:hAnsi="Calibri" w:cs="Calibri"/>
        </w:rPr>
        <w:t>n</w:t>
      </w:r>
      <w:r w:rsidRPr="00DB6FFF">
        <w:rPr>
          <w:rFonts w:ascii="Calibri" w:hAnsi="Calibri" w:cs="Calibri"/>
        </w:rPr>
        <w:t>ear Silver Spring, MD on February 16, 1996</w:t>
      </w:r>
      <w:r w:rsidR="0027083F">
        <w:rPr>
          <w:rFonts w:ascii="Calibri" w:hAnsi="Calibri" w:cs="Calibri"/>
        </w:rPr>
        <w:t>,</w:t>
      </w:r>
      <w:r w:rsidRPr="00DB6FFF">
        <w:rPr>
          <w:rFonts w:ascii="Calibri" w:hAnsi="Calibri" w:cs="Calibri"/>
        </w:rPr>
        <w:t xml:space="preserve"> cites several related close calls that preceded the crash</w:t>
      </w:r>
      <w:r w:rsidR="00920E2E">
        <w:rPr>
          <w:rFonts w:ascii="Calibri" w:hAnsi="Calibri" w:cs="Calibri"/>
        </w:rPr>
        <w:t>.</w:t>
      </w:r>
      <w:r w:rsidRPr="00DB6FFF">
        <w:rPr>
          <w:rStyle w:val="FootnoteReference"/>
          <w:rFonts w:ascii="Calibri" w:hAnsi="Calibri" w:cs="Calibri"/>
        </w:rPr>
        <w:footnoteReference w:id="4"/>
      </w:r>
    </w:p>
    <w:p w:rsidR="005B7F58" w:rsidRPr="00DB6FFF" w:rsidRDefault="005B7F58" w:rsidP="005B7F58">
      <w:pPr>
        <w:pStyle w:val="BodyText"/>
        <w:rPr>
          <w:rFonts w:ascii="Calibri" w:hAnsi="Calibri" w:cs="Calibri"/>
        </w:rPr>
      </w:pPr>
      <w:r w:rsidRPr="00DB6FFF">
        <w:rPr>
          <w:rFonts w:ascii="Calibri" w:hAnsi="Calibri" w:cs="Calibri"/>
        </w:rPr>
        <w:t>Transit agencies can reduce risks before an accident by analyzing close calls. When individual close call events are analyzed collectively, transit agencies can identify safety hazards and develop solutions to these threats. Close call reports can also provide important safety information to FTA thereby enabling FTA and SSOs to more effectively perform their oversight role.</w:t>
      </w:r>
    </w:p>
    <w:p w:rsidR="005B7F58" w:rsidRPr="00DB6FFF" w:rsidRDefault="005B7F58" w:rsidP="005B7F58">
      <w:pPr>
        <w:pStyle w:val="BodyText"/>
        <w:rPr>
          <w:rFonts w:ascii="Calibri" w:hAnsi="Calibri" w:cs="Calibri"/>
        </w:rPr>
      </w:pPr>
      <w:r w:rsidRPr="00DB6FFF">
        <w:rPr>
          <w:rFonts w:ascii="Calibri" w:hAnsi="Calibri" w:cs="Calibri"/>
        </w:rPr>
        <w:t>Transit agency employees, like employees in other industries, are often unwilling to report observed events that could result in adverse safety outcomes particularly with respect to self-reported behaviors, because disclosure may result in punishment for the employee. Confidential</w:t>
      </w:r>
      <w:r w:rsidR="005B1383">
        <w:rPr>
          <w:rFonts w:ascii="Calibri" w:hAnsi="Calibri" w:cs="Calibri"/>
        </w:rPr>
        <w:t xml:space="preserve">, </w:t>
      </w:r>
      <w:r w:rsidR="00AC33F6">
        <w:rPr>
          <w:rFonts w:ascii="Calibri" w:hAnsi="Calibri" w:cs="Calibri"/>
        </w:rPr>
        <w:t xml:space="preserve">non-punitive, </w:t>
      </w:r>
      <w:r w:rsidR="005B1383">
        <w:rPr>
          <w:rFonts w:ascii="Calibri" w:hAnsi="Calibri" w:cs="Calibri"/>
        </w:rPr>
        <w:t>close</w:t>
      </w:r>
      <w:r w:rsidR="00AC33F6">
        <w:rPr>
          <w:rFonts w:ascii="Calibri" w:hAnsi="Calibri" w:cs="Calibri"/>
        </w:rPr>
        <w:t xml:space="preserve"> </w:t>
      </w:r>
      <w:r w:rsidR="005B1383">
        <w:rPr>
          <w:rFonts w:ascii="Calibri" w:hAnsi="Calibri" w:cs="Calibri"/>
        </w:rPr>
        <w:t xml:space="preserve">call </w:t>
      </w:r>
      <w:r w:rsidR="00422843">
        <w:rPr>
          <w:rFonts w:ascii="Calibri" w:hAnsi="Calibri" w:cs="Calibri"/>
        </w:rPr>
        <w:t xml:space="preserve">safety </w:t>
      </w:r>
      <w:r w:rsidR="005B1383">
        <w:rPr>
          <w:rFonts w:ascii="Calibri" w:hAnsi="Calibri" w:cs="Calibri"/>
        </w:rPr>
        <w:t>reporting</w:t>
      </w:r>
      <w:r w:rsidRPr="00DB6FFF">
        <w:rPr>
          <w:rFonts w:ascii="Calibri" w:hAnsi="Calibri" w:cs="Calibri"/>
        </w:rPr>
        <w:t xml:space="preserve"> systems address these problems </w:t>
      </w:r>
      <w:r w:rsidR="00B41651">
        <w:rPr>
          <w:rFonts w:ascii="Calibri" w:hAnsi="Calibri" w:cs="Calibri"/>
        </w:rPr>
        <w:t>by</w:t>
      </w:r>
      <w:r w:rsidR="00B41651" w:rsidRPr="00DB6FFF">
        <w:rPr>
          <w:rFonts w:ascii="Calibri" w:hAnsi="Calibri" w:cs="Calibri"/>
        </w:rPr>
        <w:t xml:space="preserve"> </w:t>
      </w:r>
      <w:r w:rsidRPr="00DB6FFF">
        <w:rPr>
          <w:rFonts w:ascii="Calibri" w:hAnsi="Calibri" w:cs="Calibri"/>
        </w:rPr>
        <w:t xml:space="preserve">collecting information about close calls in a way that protects the </w:t>
      </w:r>
      <w:r w:rsidR="00B41651" w:rsidRPr="00DB6FFF">
        <w:rPr>
          <w:rFonts w:ascii="Calibri" w:hAnsi="Calibri" w:cs="Calibri"/>
        </w:rPr>
        <w:t>employee</w:t>
      </w:r>
      <w:r w:rsidR="00B41651">
        <w:rPr>
          <w:rFonts w:ascii="Calibri" w:hAnsi="Calibri" w:cs="Calibri"/>
        </w:rPr>
        <w:t>’s</w:t>
      </w:r>
      <w:r w:rsidR="00B41651" w:rsidRPr="00DB6FFF">
        <w:rPr>
          <w:rFonts w:ascii="Calibri" w:hAnsi="Calibri" w:cs="Calibri"/>
        </w:rPr>
        <w:t xml:space="preserve"> </w:t>
      </w:r>
      <w:r w:rsidRPr="00DB6FFF">
        <w:rPr>
          <w:rFonts w:ascii="Calibri" w:hAnsi="Calibri" w:cs="Calibri"/>
        </w:rPr>
        <w:t xml:space="preserve">identity. </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74" w:name="_Toc75579416"/>
      <w:bookmarkStart w:id="75" w:name="_Toc316336514"/>
      <w:bookmarkStart w:id="76" w:name="_Toc317097318"/>
      <w:bookmarkStart w:id="77" w:name="_Toc317106160"/>
      <w:r w:rsidRPr="00DB6FFF">
        <w:rPr>
          <w:rFonts w:ascii="Calibri" w:hAnsi="Calibri" w:cs="Calibri"/>
        </w:rPr>
        <w:t xml:space="preserve">Purpose of </w:t>
      </w:r>
      <w:bookmarkEnd w:id="74"/>
      <w:r w:rsidRPr="00DB6FFF">
        <w:rPr>
          <w:rFonts w:ascii="Calibri" w:hAnsi="Calibri" w:cs="Calibri"/>
        </w:rPr>
        <w:t xml:space="preserve">the Confidential Close Call </w:t>
      </w:r>
      <w:r w:rsidR="00422843">
        <w:rPr>
          <w:rFonts w:ascii="Calibri" w:hAnsi="Calibri" w:cs="Calibri"/>
        </w:rPr>
        <w:t xml:space="preserve">Safety </w:t>
      </w:r>
      <w:r w:rsidRPr="00DB6FFF">
        <w:rPr>
          <w:rFonts w:ascii="Calibri" w:hAnsi="Calibri" w:cs="Calibri"/>
        </w:rPr>
        <w:t>Reporting System</w:t>
      </w:r>
      <w:bookmarkEnd w:id="75"/>
      <w:bookmarkEnd w:id="76"/>
      <w:bookmarkEnd w:id="77"/>
    </w:p>
    <w:p w:rsidR="005B7F58" w:rsidRPr="00DB6FFF" w:rsidRDefault="005B7F58" w:rsidP="005B7F58">
      <w:pPr>
        <w:pStyle w:val="BodyText"/>
        <w:rPr>
          <w:rFonts w:ascii="Calibri" w:hAnsi="Calibri" w:cs="Calibri"/>
        </w:rPr>
      </w:pPr>
      <w:r w:rsidRPr="00DB6FFF">
        <w:rPr>
          <w:rFonts w:ascii="Calibri" w:hAnsi="Calibri" w:cs="Calibri"/>
        </w:rPr>
        <w:t xml:space="preserve">A confidential close call reporting system is not separate and apart from the existing transit agency reporting systems. It provides another tool to identify and assess safety risks in transit agency operations. </w:t>
      </w:r>
      <w:r w:rsidR="00C23C62" w:rsidRPr="00C23C62">
        <w:rPr>
          <w:rFonts w:ascii="Calibri" w:hAnsi="Calibri" w:cs="Calibri"/>
        </w:rPr>
        <w:t>Close call reporting systems present opportunities to improve a transit agency’s safety performance by producing safety-critical information that can lead to strategies and interventions to prevent accidents and injuries.</w:t>
      </w:r>
      <w:r w:rsidR="00C23C62">
        <w:rPr>
          <w:rFonts w:ascii="Calibri" w:hAnsi="Calibri" w:cs="Calibri"/>
        </w:rPr>
        <w:t xml:space="preserve"> </w:t>
      </w:r>
      <w:r w:rsidRPr="00DB6FFF">
        <w:rPr>
          <w:rFonts w:ascii="Calibri" w:hAnsi="Calibri" w:cs="Calibri"/>
        </w:rPr>
        <w:t xml:space="preserve">The system can also be used to monitor changes in safety over time and to uncover hidden unsafe conditions that were previously unreported. </w:t>
      </w:r>
    </w:p>
    <w:p w:rsidR="005B7F58" w:rsidRPr="00DB6FFF" w:rsidRDefault="005B7F58" w:rsidP="005B7F58">
      <w:pPr>
        <w:pStyle w:val="BodyText"/>
        <w:rPr>
          <w:rFonts w:ascii="Calibri" w:hAnsi="Calibri" w:cs="Calibri"/>
        </w:rPr>
      </w:pPr>
      <w:r w:rsidRPr="00DB6FFF">
        <w:rPr>
          <w:rFonts w:ascii="Calibri" w:hAnsi="Calibri" w:cs="Calibri"/>
        </w:rPr>
        <w:t xml:space="preserve">For this </w:t>
      </w:r>
      <w:r w:rsidR="00F149DF">
        <w:rPr>
          <w:rFonts w:ascii="Calibri" w:hAnsi="Calibri" w:cs="Calibri"/>
        </w:rPr>
        <w:t>pilot</w:t>
      </w:r>
      <w:r w:rsidRPr="00DB6FFF">
        <w:rPr>
          <w:rFonts w:ascii="Calibri" w:hAnsi="Calibri" w:cs="Calibri"/>
        </w:rPr>
        <w:t xml:space="preserve"> project, close call reports should address the following four goals:</w:t>
      </w:r>
    </w:p>
    <w:p w:rsidR="005B7F58" w:rsidRPr="00DB6FFF" w:rsidRDefault="00B41651" w:rsidP="007310E6">
      <w:pPr>
        <w:pStyle w:val="BodyText"/>
        <w:numPr>
          <w:ilvl w:val="0"/>
          <w:numId w:val="15"/>
        </w:numPr>
        <w:rPr>
          <w:rFonts w:ascii="Calibri" w:hAnsi="Calibri" w:cs="Calibri"/>
        </w:rPr>
      </w:pPr>
      <w:r>
        <w:rPr>
          <w:rFonts w:ascii="Calibri" w:hAnsi="Calibri" w:cs="Calibri"/>
        </w:rPr>
        <w:t>M</w:t>
      </w:r>
      <w:r w:rsidR="005B7F58" w:rsidRPr="00DB6FFF">
        <w:rPr>
          <w:rFonts w:ascii="Calibri" w:hAnsi="Calibri" w:cs="Calibri"/>
        </w:rPr>
        <w:t>onitor the frequency of known failure modes (existing risks to safety);</w:t>
      </w:r>
    </w:p>
    <w:p w:rsidR="005B7F58" w:rsidRPr="00DB6FFF" w:rsidRDefault="00B41651" w:rsidP="007310E6">
      <w:pPr>
        <w:pStyle w:val="BodyText"/>
        <w:numPr>
          <w:ilvl w:val="0"/>
          <w:numId w:val="15"/>
        </w:numPr>
        <w:rPr>
          <w:rFonts w:ascii="Calibri" w:hAnsi="Calibri" w:cs="Calibri"/>
        </w:rPr>
      </w:pPr>
      <w:r>
        <w:rPr>
          <w:rFonts w:ascii="Calibri" w:hAnsi="Calibri" w:cs="Calibri"/>
        </w:rPr>
        <w:t>L</w:t>
      </w:r>
      <w:r w:rsidR="005B7F58" w:rsidRPr="00DB6FFF">
        <w:rPr>
          <w:rFonts w:ascii="Calibri" w:hAnsi="Calibri" w:cs="Calibri"/>
        </w:rPr>
        <w:t xml:space="preserve">earn about new failure modes (new risks to safety); </w:t>
      </w:r>
    </w:p>
    <w:p w:rsidR="005B7F58" w:rsidRPr="00DB6FFF" w:rsidRDefault="00B41651" w:rsidP="007310E6">
      <w:pPr>
        <w:pStyle w:val="BodyText"/>
        <w:numPr>
          <w:ilvl w:val="0"/>
          <w:numId w:val="15"/>
        </w:numPr>
        <w:rPr>
          <w:rFonts w:ascii="Calibri" w:hAnsi="Calibri" w:cs="Calibri"/>
        </w:rPr>
      </w:pPr>
      <w:r>
        <w:rPr>
          <w:rFonts w:ascii="Calibri" w:hAnsi="Calibri" w:cs="Calibri"/>
        </w:rPr>
        <w:t>H</w:t>
      </w:r>
      <w:r w:rsidR="008C794F">
        <w:rPr>
          <w:rFonts w:ascii="Calibri" w:hAnsi="Calibri" w:cs="Calibri"/>
        </w:rPr>
        <w:t>eighten awareness</w:t>
      </w:r>
      <w:r w:rsidR="005B7F58" w:rsidRPr="00DB6FFF">
        <w:rPr>
          <w:rFonts w:ascii="Calibri" w:hAnsi="Calibri" w:cs="Calibri"/>
        </w:rPr>
        <w:t xml:space="preserve"> </w:t>
      </w:r>
      <w:r w:rsidR="00C23C62">
        <w:rPr>
          <w:rFonts w:ascii="Calibri" w:hAnsi="Calibri" w:cs="Calibri"/>
        </w:rPr>
        <w:t>of</w:t>
      </w:r>
      <w:r w:rsidR="005B7F58" w:rsidRPr="00DB6FFF">
        <w:rPr>
          <w:rFonts w:ascii="Calibri" w:hAnsi="Calibri" w:cs="Calibri"/>
        </w:rPr>
        <w:t xml:space="preserve"> </w:t>
      </w:r>
      <w:r w:rsidR="008C794F">
        <w:rPr>
          <w:rFonts w:ascii="Calibri" w:hAnsi="Calibri" w:cs="Calibri"/>
        </w:rPr>
        <w:t xml:space="preserve">safety </w:t>
      </w:r>
      <w:r w:rsidR="005B7F58" w:rsidRPr="00DB6FFF">
        <w:rPr>
          <w:rFonts w:ascii="Calibri" w:hAnsi="Calibri" w:cs="Calibri"/>
        </w:rPr>
        <w:t>risks in transit agency operations; and</w:t>
      </w:r>
    </w:p>
    <w:p w:rsidR="005B7F58" w:rsidRPr="00DB6FFF" w:rsidRDefault="00B41651" w:rsidP="007310E6">
      <w:pPr>
        <w:pStyle w:val="BodyText"/>
        <w:numPr>
          <w:ilvl w:val="0"/>
          <w:numId w:val="15"/>
        </w:numPr>
        <w:rPr>
          <w:rFonts w:ascii="Calibri" w:hAnsi="Calibri" w:cs="Calibri"/>
        </w:rPr>
      </w:pPr>
      <w:r>
        <w:rPr>
          <w:rFonts w:ascii="Calibri" w:hAnsi="Calibri" w:cs="Calibri"/>
        </w:rPr>
        <w:t>E</w:t>
      </w:r>
      <w:r w:rsidR="005B7F58" w:rsidRPr="00DB6FFF">
        <w:rPr>
          <w:rFonts w:ascii="Calibri" w:hAnsi="Calibri" w:cs="Calibri"/>
        </w:rPr>
        <w:t>nable RTAs, labor organizations</w:t>
      </w:r>
      <w:r>
        <w:rPr>
          <w:rFonts w:ascii="Calibri" w:hAnsi="Calibri" w:cs="Calibri"/>
        </w:rPr>
        <w:t>,</w:t>
      </w:r>
      <w:r w:rsidR="005B7F58" w:rsidRPr="00DB6FFF">
        <w:rPr>
          <w:rFonts w:ascii="Calibri" w:hAnsi="Calibri" w:cs="Calibri"/>
        </w:rPr>
        <w:t xml:space="preserve"> and SSOs to identify safety issues that require corrective action.</w:t>
      </w:r>
    </w:p>
    <w:p w:rsidR="005B7F58" w:rsidRPr="00DB6FFF" w:rsidRDefault="005B7F58" w:rsidP="005B7F58">
      <w:pPr>
        <w:pStyle w:val="BodyText"/>
        <w:rPr>
          <w:rFonts w:ascii="Calibri" w:hAnsi="Calibri" w:cs="Calibri"/>
          <w:sz w:val="20"/>
        </w:rPr>
      </w:pPr>
      <w:r w:rsidRPr="00DB6FFF">
        <w:rPr>
          <w:rFonts w:ascii="Calibri" w:hAnsi="Calibri" w:cs="Calibri"/>
        </w:rPr>
        <w:lastRenderedPageBreak/>
        <w:t xml:space="preserve">The </w:t>
      </w:r>
      <w:r w:rsidR="00C23C62">
        <w:rPr>
          <w:rFonts w:ascii="Calibri" w:hAnsi="Calibri" w:cs="Calibri"/>
        </w:rPr>
        <w:t xml:space="preserve">Confidential, Non-Punitive, </w:t>
      </w:r>
      <w:r w:rsidRPr="00DB6FFF">
        <w:rPr>
          <w:rFonts w:ascii="Calibri" w:hAnsi="Calibri" w:cs="Calibri"/>
        </w:rPr>
        <w:t xml:space="preserve">Close Call </w:t>
      </w:r>
      <w:r w:rsidR="0036201E">
        <w:rPr>
          <w:rFonts w:ascii="Calibri" w:hAnsi="Calibri" w:cs="Calibri"/>
        </w:rPr>
        <w:t xml:space="preserve">Safety Reporting System </w:t>
      </w:r>
      <w:r w:rsidR="00F149DF">
        <w:rPr>
          <w:rFonts w:ascii="Calibri" w:hAnsi="Calibri" w:cs="Calibri"/>
        </w:rPr>
        <w:t>Pilot</w:t>
      </w:r>
      <w:r w:rsidRPr="00DB6FFF">
        <w:rPr>
          <w:rFonts w:ascii="Calibri" w:hAnsi="Calibri" w:cs="Calibri"/>
        </w:rPr>
        <w:t xml:space="preserve"> Project should foster a voluntary, cooperative, non-punitive environment to communicate safety concerns. Through analysis of close calls, the parties implementing MOUs and FTA will receive information about factors that may contribute to unsafe events and the error recovery mechanisms that prevented an adverse consequence from occurring. </w:t>
      </w:r>
      <w:r w:rsidR="00920E2E">
        <w:rPr>
          <w:rFonts w:ascii="Calibri" w:hAnsi="Calibri" w:cs="Calibri"/>
        </w:rPr>
        <w:t>P</w:t>
      </w:r>
      <w:r w:rsidRPr="00DB6FFF">
        <w:rPr>
          <w:rFonts w:ascii="Calibri" w:hAnsi="Calibri" w:cs="Calibri"/>
        </w:rPr>
        <w:t xml:space="preserve">articipating RTAs can use this information to help them develop corrective actions to help reduce risks to safety. The close call </w:t>
      </w:r>
      <w:r w:rsidR="0036201E">
        <w:rPr>
          <w:rFonts w:ascii="Calibri" w:hAnsi="Calibri" w:cs="Calibri"/>
        </w:rPr>
        <w:t xml:space="preserve">safety </w:t>
      </w:r>
      <w:r w:rsidRPr="00DB6FFF">
        <w:rPr>
          <w:rFonts w:ascii="Calibri" w:hAnsi="Calibri" w:cs="Calibri"/>
        </w:rPr>
        <w:t>reporting system should also track and assess the corrective actions taken in response to close call events to identify successfu</w:t>
      </w:r>
      <w:r w:rsidR="00A71D39">
        <w:rPr>
          <w:rFonts w:ascii="Calibri" w:hAnsi="Calibri" w:cs="Calibri"/>
        </w:rPr>
        <w:t xml:space="preserve">l and unsuccessful actions. </w:t>
      </w:r>
      <w:r w:rsidRPr="00DB6FFF">
        <w:rPr>
          <w:rFonts w:ascii="Calibri" w:hAnsi="Calibri" w:cs="Calibri"/>
        </w:rPr>
        <w:t>The program should help determine what factors (i.e., equipment design, training, operating practices, management practices) promote the elimination of errors and what factors</w:t>
      </w:r>
      <w:r w:rsidR="00A71D39">
        <w:rPr>
          <w:rFonts w:ascii="Calibri" w:hAnsi="Calibri" w:cs="Calibri"/>
        </w:rPr>
        <w:t xml:space="preserve"> promote recovery from errors. </w:t>
      </w:r>
      <w:r w:rsidRPr="00DB6FFF">
        <w:rPr>
          <w:rFonts w:ascii="Calibri" w:hAnsi="Calibri" w:cs="Calibri"/>
        </w:rPr>
        <w:t xml:space="preserve">FTA can use the information to perform its transit agency safety oversight role, including disseminating important safety information to other RTAs and developing safety and enforcement tools to address widespread safety problems. </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78" w:name="_Toc75579417"/>
      <w:bookmarkStart w:id="79" w:name="_Toc316336515"/>
      <w:bookmarkStart w:id="80" w:name="_Toc317097319"/>
      <w:bookmarkStart w:id="81" w:name="_Toc317106161"/>
      <w:r w:rsidRPr="00DB6FFF">
        <w:rPr>
          <w:rFonts w:ascii="Calibri" w:hAnsi="Calibri" w:cs="Calibri"/>
        </w:rPr>
        <w:t>Definition of “Close Call”</w:t>
      </w:r>
      <w:bookmarkEnd w:id="78"/>
      <w:bookmarkEnd w:id="79"/>
      <w:bookmarkEnd w:id="80"/>
      <w:bookmarkEnd w:id="81"/>
    </w:p>
    <w:p w:rsidR="005214DA" w:rsidRPr="00BD63FB" w:rsidRDefault="005214DA" w:rsidP="005214DA">
      <w:pPr>
        <w:jc w:val="both"/>
        <w:rPr>
          <w:rFonts w:cs="Calibri"/>
          <w:b/>
        </w:rPr>
      </w:pPr>
      <w:r>
        <w:t xml:space="preserve">A </w:t>
      </w:r>
      <w:r w:rsidRPr="00F402F1">
        <w:rPr>
          <w:b/>
        </w:rPr>
        <w:t>close call</w:t>
      </w:r>
      <w:r>
        <w:t xml:space="preserve"> is a situation or circumstance that had the potential for safety consequences, but did not result in an adverse safety event. Knowledge about a close call presents an opportunity to improve safety practices and culture. </w:t>
      </w:r>
      <w:r w:rsidR="00AA3062">
        <w:t>The e</w:t>
      </w:r>
      <w:r>
        <w:t xml:space="preserve">vents that do and do not qualify for </w:t>
      </w:r>
      <w:r w:rsidR="008D7209">
        <w:t>close call</w:t>
      </w:r>
      <w:r>
        <w:t xml:space="preserve"> safety reporting must be defined by the stakeholders of each individual RTA’s implementing MOU</w:t>
      </w:r>
      <w:r>
        <w:rPr>
          <w:rFonts w:cs="Calibri"/>
          <w:b/>
        </w:rPr>
        <w:t>.</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82" w:name="_Toc316336516"/>
      <w:bookmarkStart w:id="83" w:name="_Toc317097320"/>
      <w:bookmarkStart w:id="84" w:name="_Toc317106162"/>
      <w:bookmarkStart w:id="85" w:name="_Toc75579418"/>
      <w:r w:rsidRPr="00DB6FFF">
        <w:rPr>
          <w:rFonts w:ascii="Calibri" w:hAnsi="Calibri" w:cs="Calibri"/>
        </w:rPr>
        <w:t xml:space="preserve">Scope of the </w:t>
      </w:r>
      <w:r w:rsidR="00E572C9">
        <w:rPr>
          <w:rFonts w:ascii="Calibri" w:hAnsi="Calibri" w:cs="Calibri"/>
        </w:rPr>
        <w:t xml:space="preserve">Confidential, Non-Punitive, </w:t>
      </w:r>
      <w:r w:rsidRPr="00DB6FFF">
        <w:rPr>
          <w:rFonts w:ascii="Calibri" w:hAnsi="Calibri" w:cs="Calibri"/>
        </w:rPr>
        <w:t xml:space="preserve">Close Call </w:t>
      </w:r>
      <w:r w:rsidR="0036201E">
        <w:rPr>
          <w:rFonts w:ascii="Calibri" w:hAnsi="Calibri" w:cs="Calibri"/>
        </w:rPr>
        <w:t xml:space="preserve">Safety Reporting System </w:t>
      </w:r>
      <w:r w:rsidR="00F149DF">
        <w:rPr>
          <w:rFonts w:ascii="Calibri" w:hAnsi="Calibri" w:cs="Calibri"/>
        </w:rPr>
        <w:t>Pilot</w:t>
      </w:r>
      <w:r w:rsidRPr="00DB6FFF">
        <w:rPr>
          <w:rFonts w:ascii="Calibri" w:hAnsi="Calibri" w:cs="Calibri"/>
        </w:rPr>
        <w:t xml:space="preserve"> Project</w:t>
      </w:r>
      <w:bookmarkEnd w:id="82"/>
      <w:bookmarkEnd w:id="83"/>
      <w:bookmarkEnd w:id="84"/>
    </w:p>
    <w:p w:rsidR="005B7F58" w:rsidRPr="005444DE" w:rsidRDefault="005B7F58" w:rsidP="005B7F58">
      <w:pPr>
        <w:spacing w:after="120"/>
        <w:rPr>
          <w:rFonts w:cs="Calibri"/>
          <w:sz w:val="24"/>
        </w:rPr>
      </w:pPr>
      <w:r w:rsidRPr="005444DE">
        <w:rPr>
          <w:rFonts w:cs="Calibri"/>
          <w:sz w:val="24"/>
        </w:rPr>
        <w:t xml:space="preserve">The Close Call </w:t>
      </w:r>
      <w:r w:rsidR="00F149DF" w:rsidRPr="005444DE">
        <w:rPr>
          <w:rFonts w:cs="Calibri"/>
          <w:sz w:val="24"/>
        </w:rPr>
        <w:t>Pilot</w:t>
      </w:r>
      <w:r w:rsidRPr="005444DE">
        <w:rPr>
          <w:rFonts w:cs="Calibri"/>
          <w:sz w:val="24"/>
        </w:rPr>
        <w:t xml:space="preserve"> Project applies to RTAs and their employees who are included in written implementing MOUs that have been approved by FTA in accordance with section 12.</w:t>
      </w:r>
      <w:r w:rsidR="00E572C9">
        <w:rPr>
          <w:rFonts w:cs="Calibri"/>
          <w:sz w:val="24"/>
        </w:rPr>
        <w:t xml:space="preserve"> Whenever feasible, all employees </w:t>
      </w:r>
      <w:r w:rsidR="001022D4">
        <w:rPr>
          <w:rFonts w:cs="Calibri"/>
          <w:sz w:val="24"/>
        </w:rPr>
        <w:t xml:space="preserve">and contractors </w:t>
      </w:r>
      <w:r w:rsidR="00E572C9">
        <w:rPr>
          <w:rFonts w:cs="Calibri"/>
          <w:sz w:val="24"/>
        </w:rPr>
        <w:t>of a</w:t>
      </w:r>
      <w:r w:rsidR="00920E2E">
        <w:rPr>
          <w:rFonts w:cs="Calibri"/>
          <w:sz w:val="24"/>
        </w:rPr>
        <w:t>n</w:t>
      </w:r>
      <w:r w:rsidR="00E572C9">
        <w:rPr>
          <w:rFonts w:cs="Calibri"/>
          <w:sz w:val="24"/>
        </w:rPr>
        <w:t xml:space="preserve"> RTA should be included in the implementing MOU.</w:t>
      </w:r>
      <w:r w:rsidR="00373805" w:rsidRPr="005444DE">
        <w:rPr>
          <w:rFonts w:cs="Calibri"/>
          <w:sz w:val="24"/>
        </w:rPr>
        <w:t xml:space="preserve"> </w:t>
      </w:r>
      <w:r w:rsidRPr="005444DE">
        <w:rPr>
          <w:rFonts w:cs="Calibri"/>
          <w:sz w:val="24"/>
        </w:rPr>
        <w:t xml:space="preserve">It is expected that the </w:t>
      </w:r>
      <w:r w:rsidR="00F149DF" w:rsidRPr="005444DE">
        <w:rPr>
          <w:rFonts w:cs="Calibri"/>
          <w:sz w:val="24"/>
        </w:rPr>
        <w:t>pilot</w:t>
      </w:r>
      <w:r w:rsidRPr="005444DE">
        <w:rPr>
          <w:rFonts w:cs="Calibri"/>
          <w:sz w:val="24"/>
        </w:rPr>
        <w:t xml:space="preserve"> project would need to be operational for three years before quantitative outcome</w:t>
      </w:r>
      <w:r w:rsidR="000652D9" w:rsidRPr="005444DE">
        <w:rPr>
          <w:rFonts w:cs="Calibri"/>
          <w:sz w:val="24"/>
        </w:rPr>
        <w:t xml:space="preserve">s </w:t>
      </w:r>
      <w:r w:rsidRPr="005444DE">
        <w:rPr>
          <w:rFonts w:cs="Calibri"/>
          <w:sz w:val="24"/>
        </w:rPr>
        <w:t xml:space="preserve">can be measured. (See section 14 for a discussion of the duration of the project.)  </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86" w:name="_Toc316336517"/>
      <w:bookmarkStart w:id="87" w:name="_Toc317097321"/>
      <w:bookmarkStart w:id="88" w:name="_Toc317106163"/>
      <w:r w:rsidRPr="00DB6FFF">
        <w:rPr>
          <w:rFonts w:ascii="Calibri" w:hAnsi="Calibri" w:cs="Calibri"/>
        </w:rPr>
        <w:t xml:space="preserve">Close Call </w:t>
      </w:r>
      <w:r w:rsidR="0036201E">
        <w:rPr>
          <w:rFonts w:ascii="Calibri" w:hAnsi="Calibri" w:cs="Calibri"/>
        </w:rPr>
        <w:t xml:space="preserve">Safety Reporting System </w:t>
      </w:r>
      <w:r w:rsidR="00F149DF">
        <w:rPr>
          <w:rFonts w:ascii="Calibri" w:hAnsi="Calibri" w:cs="Calibri"/>
        </w:rPr>
        <w:t>Pilot</w:t>
      </w:r>
      <w:r w:rsidRPr="00DB6FFF">
        <w:rPr>
          <w:rFonts w:ascii="Calibri" w:hAnsi="Calibri" w:cs="Calibri"/>
        </w:rPr>
        <w:t xml:space="preserve"> Project Description</w:t>
      </w:r>
      <w:bookmarkEnd w:id="85"/>
      <w:bookmarkEnd w:id="86"/>
      <w:bookmarkEnd w:id="87"/>
      <w:bookmarkEnd w:id="88"/>
    </w:p>
    <w:p w:rsidR="005B7F58" w:rsidRDefault="005B7F58" w:rsidP="005B7F58">
      <w:pPr>
        <w:pStyle w:val="BodyText"/>
        <w:rPr>
          <w:rFonts w:ascii="Calibri" w:hAnsi="Calibri" w:cs="Calibri"/>
        </w:rPr>
      </w:pPr>
      <w:r w:rsidRPr="00DB6FFF">
        <w:rPr>
          <w:rFonts w:ascii="Calibri" w:hAnsi="Calibri" w:cs="Calibri"/>
        </w:rPr>
        <w:t xml:space="preserve">FTA is sponsoring the Close Call </w:t>
      </w:r>
      <w:r w:rsidR="0036201E">
        <w:rPr>
          <w:rFonts w:ascii="Calibri" w:hAnsi="Calibri" w:cs="Calibri"/>
        </w:rPr>
        <w:t xml:space="preserve">Safety Reporting System </w:t>
      </w:r>
      <w:r w:rsidR="00F149DF">
        <w:rPr>
          <w:rFonts w:ascii="Calibri" w:hAnsi="Calibri" w:cs="Calibri"/>
        </w:rPr>
        <w:t>Pilot</w:t>
      </w:r>
      <w:r w:rsidRPr="00DB6FFF">
        <w:rPr>
          <w:rFonts w:ascii="Calibri" w:hAnsi="Calibri" w:cs="Calibri"/>
        </w:rPr>
        <w:t xml:space="preserve"> Project to demonstrate the effectiveness of a confidential close call </w:t>
      </w:r>
      <w:r w:rsidR="0036201E">
        <w:rPr>
          <w:rFonts w:ascii="Calibri" w:hAnsi="Calibri" w:cs="Calibri"/>
        </w:rPr>
        <w:t xml:space="preserve">safety </w:t>
      </w:r>
      <w:r w:rsidRPr="00DB6FFF">
        <w:rPr>
          <w:rFonts w:ascii="Calibri" w:hAnsi="Calibri" w:cs="Calibri"/>
        </w:rPr>
        <w:t>reporting system to improve transit agency safety.</w:t>
      </w:r>
      <w:r w:rsidRPr="00DB6FFF">
        <w:rPr>
          <w:rStyle w:val="FootnoteReference"/>
          <w:rFonts w:ascii="Calibri" w:hAnsi="Calibri" w:cs="Calibri"/>
        </w:rPr>
        <w:footnoteReference w:id="5"/>
      </w:r>
      <w:r w:rsidRPr="00DB6FFF">
        <w:rPr>
          <w:rFonts w:ascii="Calibri" w:hAnsi="Calibri" w:cs="Calibri"/>
        </w:rPr>
        <w:t xml:space="preserve">  </w:t>
      </w:r>
    </w:p>
    <w:p w:rsidR="006323CF" w:rsidRPr="00DB6FFF" w:rsidRDefault="006323CF" w:rsidP="005B7F58">
      <w:pPr>
        <w:pStyle w:val="BodyText"/>
        <w:rPr>
          <w:rFonts w:ascii="Calibri" w:hAnsi="Calibri" w:cs="Calibri"/>
        </w:rPr>
      </w:pPr>
    </w:p>
    <w:p w:rsidR="005B7F58" w:rsidRPr="00DB6FFF" w:rsidRDefault="005B7F58" w:rsidP="005B7F58">
      <w:pPr>
        <w:pStyle w:val="BodyText"/>
        <w:rPr>
          <w:rFonts w:ascii="Calibri" w:hAnsi="Calibri" w:cs="Calibri"/>
        </w:rPr>
      </w:pPr>
      <w:r w:rsidRPr="00DB6FFF">
        <w:rPr>
          <w:rFonts w:ascii="Calibri" w:hAnsi="Calibri" w:cs="Calibri"/>
        </w:rPr>
        <w:lastRenderedPageBreak/>
        <w:t xml:space="preserve">The project is designed to perform six primary functions: </w:t>
      </w:r>
    </w:p>
    <w:p w:rsidR="005B7F58" w:rsidRPr="00DB6FFF" w:rsidRDefault="005B7F58" w:rsidP="007310E6">
      <w:pPr>
        <w:pStyle w:val="BodyText"/>
        <w:numPr>
          <w:ilvl w:val="0"/>
          <w:numId w:val="10"/>
        </w:numPr>
        <w:rPr>
          <w:rFonts w:ascii="Calibri" w:hAnsi="Calibri" w:cs="Calibri"/>
        </w:rPr>
      </w:pPr>
      <w:r w:rsidRPr="00DB6FFF">
        <w:rPr>
          <w:rFonts w:ascii="Calibri" w:hAnsi="Calibri" w:cs="Calibri"/>
        </w:rPr>
        <w:t>Accept reports of close calls that meet the criteria set forth in section 7.1;</w:t>
      </w:r>
    </w:p>
    <w:p w:rsidR="005B7F58" w:rsidRPr="00DB6FFF" w:rsidRDefault="005B7F58" w:rsidP="007310E6">
      <w:pPr>
        <w:pStyle w:val="BodyText"/>
        <w:numPr>
          <w:ilvl w:val="0"/>
          <w:numId w:val="10"/>
        </w:numPr>
        <w:rPr>
          <w:rFonts w:ascii="Calibri" w:hAnsi="Calibri" w:cs="Calibri"/>
        </w:rPr>
      </w:pPr>
      <w:r w:rsidRPr="00DB6FFF">
        <w:rPr>
          <w:rFonts w:ascii="Calibri" w:hAnsi="Calibri" w:cs="Calibri"/>
        </w:rPr>
        <w:t>Store confidential data;</w:t>
      </w:r>
    </w:p>
    <w:p w:rsidR="005B7F58" w:rsidRPr="00DB6FFF" w:rsidRDefault="005B7F58" w:rsidP="007310E6">
      <w:pPr>
        <w:pStyle w:val="BodyText"/>
        <w:numPr>
          <w:ilvl w:val="0"/>
          <w:numId w:val="10"/>
        </w:numPr>
        <w:rPr>
          <w:rFonts w:ascii="Calibri" w:hAnsi="Calibri" w:cs="Calibri"/>
        </w:rPr>
      </w:pPr>
      <w:r w:rsidRPr="00DB6FFF">
        <w:rPr>
          <w:rFonts w:ascii="Calibri" w:hAnsi="Calibri" w:cs="Calibri"/>
        </w:rPr>
        <w:t>Analyze close calls;</w:t>
      </w:r>
    </w:p>
    <w:p w:rsidR="005B7F58" w:rsidRPr="00DB6FFF" w:rsidRDefault="005B7F58" w:rsidP="007310E6">
      <w:pPr>
        <w:pStyle w:val="BodyText"/>
        <w:numPr>
          <w:ilvl w:val="0"/>
          <w:numId w:val="10"/>
        </w:numPr>
        <w:rPr>
          <w:rFonts w:ascii="Calibri" w:hAnsi="Calibri" w:cs="Calibri"/>
        </w:rPr>
      </w:pPr>
      <w:r w:rsidRPr="00DB6FFF">
        <w:rPr>
          <w:rFonts w:ascii="Calibri" w:hAnsi="Calibri" w:cs="Calibri"/>
        </w:rPr>
        <w:t>Disseminate reports on trends and other information for use by participating parties and FTA;</w:t>
      </w:r>
    </w:p>
    <w:p w:rsidR="005B7F58" w:rsidRPr="00DB6FFF" w:rsidRDefault="005B7F58" w:rsidP="007310E6">
      <w:pPr>
        <w:pStyle w:val="BodyText"/>
        <w:numPr>
          <w:ilvl w:val="0"/>
          <w:numId w:val="10"/>
        </w:numPr>
        <w:rPr>
          <w:rFonts w:ascii="Calibri" w:hAnsi="Calibri" w:cs="Calibri"/>
        </w:rPr>
      </w:pPr>
      <w:r w:rsidRPr="00DB6FFF">
        <w:rPr>
          <w:rFonts w:ascii="Calibri" w:hAnsi="Calibri" w:cs="Calibri"/>
        </w:rPr>
        <w:t>Track RTAs’ reports on their corrective actions to measure the system’s impact on safety; and</w:t>
      </w:r>
    </w:p>
    <w:p w:rsidR="005B7F58" w:rsidRPr="00DB6FFF" w:rsidRDefault="005B7F58" w:rsidP="007310E6">
      <w:pPr>
        <w:pStyle w:val="BodyText"/>
        <w:numPr>
          <w:ilvl w:val="0"/>
          <w:numId w:val="10"/>
        </w:numPr>
        <w:rPr>
          <w:rFonts w:ascii="Calibri" w:hAnsi="Calibri" w:cs="Calibri"/>
        </w:rPr>
      </w:pPr>
      <w:r w:rsidRPr="00DB6FFF">
        <w:rPr>
          <w:rFonts w:ascii="Calibri" w:hAnsi="Calibri" w:cs="Calibri"/>
        </w:rPr>
        <w:t xml:space="preserve">Evaluate and identify ways to improve the effectiveness of the reporting system. </w:t>
      </w:r>
    </w:p>
    <w:p w:rsidR="005B7F58" w:rsidRPr="00DB6FFF" w:rsidRDefault="005B7F58" w:rsidP="005B7F58">
      <w:pPr>
        <w:pStyle w:val="BodyText"/>
        <w:rPr>
          <w:rFonts w:ascii="Calibri" w:hAnsi="Calibri" w:cs="Calibri"/>
        </w:rPr>
      </w:pPr>
      <w:r w:rsidRPr="00DB6FFF">
        <w:rPr>
          <w:rFonts w:ascii="Calibri" w:hAnsi="Calibri" w:cs="Calibri"/>
        </w:rPr>
        <w:t xml:space="preserve">The system </w:t>
      </w:r>
      <w:r w:rsidR="00920E2E">
        <w:rPr>
          <w:rFonts w:ascii="Calibri" w:hAnsi="Calibri" w:cs="Calibri"/>
        </w:rPr>
        <w:t>will</w:t>
      </w:r>
      <w:r w:rsidR="00920E2E" w:rsidRPr="00DB6FFF">
        <w:rPr>
          <w:rFonts w:ascii="Calibri" w:hAnsi="Calibri" w:cs="Calibri"/>
        </w:rPr>
        <w:t xml:space="preserve"> </w:t>
      </w:r>
      <w:r w:rsidRPr="00DB6FFF">
        <w:rPr>
          <w:rFonts w:ascii="Calibri" w:hAnsi="Calibri" w:cs="Calibri"/>
        </w:rPr>
        <w:t xml:space="preserve">be a dynamic </w:t>
      </w:r>
      <w:r w:rsidR="00F149DF">
        <w:rPr>
          <w:rFonts w:ascii="Calibri" w:hAnsi="Calibri" w:cs="Calibri"/>
        </w:rPr>
        <w:t>pilot</w:t>
      </w:r>
      <w:r w:rsidRPr="00DB6FFF">
        <w:rPr>
          <w:rFonts w:ascii="Calibri" w:hAnsi="Calibri" w:cs="Calibri"/>
        </w:rPr>
        <w:t xml:space="preserve"> project. The project should identify the elements needed to foster a successful outcome and the project will be adjusted as needed to </w:t>
      </w:r>
      <w:r w:rsidR="005B674F">
        <w:rPr>
          <w:rFonts w:ascii="Calibri" w:hAnsi="Calibri" w:cs="Calibri"/>
        </w:rPr>
        <w:t>en</w:t>
      </w:r>
      <w:r w:rsidRPr="00DB6FFF">
        <w:rPr>
          <w:rFonts w:ascii="Calibri" w:hAnsi="Calibri" w:cs="Calibri"/>
        </w:rPr>
        <w:t>sure it continues to meet program objectives and the needs of the industry.</w:t>
      </w:r>
    </w:p>
    <w:p w:rsidR="005B7F58" w:rsidRPr="00DB6FFF" w:rsidRDefault="005B7F58" w:rsidP="005B7F58">
      <w:pPr>
        <w:pStyle w:val="BodyText"/>
        <w:rPr>
          <w:rFonts w:ascii="Calibri" w:hAnsi="Calibri" w:cs="Calibri"/>
        </w:rPr>
      </w:pPr>
      <w:r w:rsidRPr="00DB6FFF">
        <w:rPr>
          <w:rFonts w:ascii="Calibri" w:hAnsi="Calibri" w:cs="Calibri"/>
        </w:rPr>
        <w:t>To provide confidentiality for individuals who report close calls, a third party is needed to accept, store, process, and analyze the reports, as well as to disseminate reports to the participants and FTA</w:t>
      </w:r>
      <w:r w:rsidR="00C85F6B">
        <w:rPr>
          <w:rFonts w:ascii="Calibri" w:hAnsi="Calibri" w:cs="Calibri"/>
        </w:rPr>
        <w:t xml:space="preserve"> on trends and new risks. </w:t>
      </w:r>
      <w:r w:rsidRPr="00DB6FFF">
        <w:rPr>
          <w:rFonts w:ascii="Calibri" w:hAnsi="Calibri" w:cs="Calibri"/>
        </w:rPr>
        <w:t>FTA would enter into a separate memorandum of agreement with the identified third party under which funding for project adm</w:t>
      </w:r>
      <w:r w:rsidR="00C85F6B">
        <w:rPr>
          <w:rFonts w:ascii="Calibri" w:hAnsi="Calibri" w:cs="Calibri"/>
        </w:rPr>
        <w:t xml:space="preserve">inistration would be provided. </w:t>
      </w:r>
      <w:r w:rsidRPr="00DB6FFF">
        <w:rPr>
          <w:rFonts w:ascii="Calibri" w:hAnsi="Calibri" w:cs="Calibri"/>
        </w:rPr>
        <w:t xml:space="preserve">The third party will likely hire a contractor with expertise in transit agency technology and operations. The contractor will receive additional training </w:t>
      </w:r>
      <w:r w:rsidR="00920E2E">
        <w:rPr>
          <w:rFonts w:ascii="Calibri" w:hAnsi="Calibri" w:cs="Calibri"/>
        </w:rPr>
        <w:t>from the third party</w:t>
      </w:r>
      <w:r w:rsidR="00920E2E" w:rsidRPr="00DB6FFF">
        <w:rPr>
          <w:rFonts w:ascii="Calibri" w:hAnsi="Calibri" w:cs="Calibri"/>
        </w:rPr>
        <w:t xml:space="preserve"> </w:t>
      </w:r>
      <w:r w:rsidRPr="00DB6FFF">
        <w:rPr>
          <w:rFonts w:ascii="Calibri" w:hAnsi="Calibri" w:cs="Calibri"/>
        </w:rPr>
        <w:t xml:space="preserve">in the functioning of the close call </w:t>
      </w:r>
      <w:r w:rsidR="0036201E">
        <w:rPr>
          <w:rFonts w:ascii="Calibri" w:hAnsi="Calibri" w:cs="Calibri"/>
        </w:rPr>
        <w:t xml:space="preserve">safety reporting </w:t>
      </w:r>
      <w:r w:rsidR="00D17F3B">
        <w:rPr>
          <w:rFonts w:ascii="Calibri" w:hAnsi="Calibri" w:cs="Calibri"/>
        </w:rPr>
        <w:t xml:space="preserve">system. </w:t>
      </w:r>
      <w:r w:rsidR="00920E2E">
        <w:rPr>
          <w:rFonts w:ascii="Calibri" w:hAnsi="Calibri" w:cs="Calibri"/>
        </w:rPr>
        <w:t>Tr</w:t>
      </w:r>
      <w:r w:rsidR="00D17F3B">
        <w:rPr>
          <w:rFonts w:ascii="Calibri" w:hAnsi="Calibri" w:cs="Calibri"/>
        </w:rPr>
        <w:t>aining will be standardized to ensure consistent operation of the system.</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89" w:name="_Toc316336518"/>
      <w:bookmarkStart w:id="90" w:name="_Toc317097322"/>
      <w:bookmarkStart w:id="91" w:name="_Toc317106164"/>
      <w:bookmarkStart w:id="92" w:name="_Toc75579419"/>
      <w:r w:rsidRPr="00DB6FFF">
        <w:rPr>
          <w:rFonts w:ascii="Calibri" w:hAnsi="Calibri" w:cs="Calibri"/>
        </w:rPr>
        <w:t xml:space="preserve">Key elements of the Close Call </w:t>
      </w:r>
      <w:r w:rsidR="0036201E">
        <w:rPr>
          <w:rFonts w:ascii="Calibri" w:hAnsi="Calibri" w:cs="Calibri"/>
        </w:rPr>
        <w:t xml:space="preserve">Safety </w:t>
      </w:r>
      <w:r w:rsidRPr="00DB6FFF">
        <w:rPr>
          <w:rFonts w:ascii="Calibri" w:hAnsi="Calibri" w:cs="Calibri"/>
        </w:rPr>
        <w:t>Reporting System</w:t>
      </w:r>
      <w:bookmarkEnd w:id="89"/>
      <w:bookmarkEnd w:id="90"/>
      <w:bookmarkEnd w:id="91"/>
    </w:p>
    <w:p w:rsidR="005B7F58" w:rsidRPr="00DB6FFF" w:rsidRDefault="005B7F58" w:rsidP="005B7F58">
      <w:pPr>
        <w:pStyle w:val="BodyText"/>
        <w:rPr>
          <w:rFonts w:ascii="Calibri" w:hAnsi="Calibri" w:cs="Calibri"/>
        </w:rPr>
      </w:pPr>
      <w:r w:rsidRPr="00DB6FFF">
        <w:rPr>
          <w:rFonts w:ascii="Calibri" w:hAnsi="Calibri" w:cs="Calibri"/>
        </w:rPr>
        <w:t xml:space="preserve">The close call </w:t>
      </w:r>
      <w:r w:rsidR="0036201E">
        <w:rPr>
          <w:rFonts w:ascii="Calibri" w:hAnsi="Calibri" w:cs="Calibri"/>
        </w:rPr>
        <w:t xml:space="preserve">safety </w:t>
      </w:r>
      <w:r w:rsidRPr="00DB6FFF">
        <w:rPr>
          <w:rFonts w:ascii="Calibri" w:hAnsi="Calibri" w:cs="Calibri"/>
        </w:rPr>
        <w:t>reporting system adheres to the following key elements:</w:t>
      </w:r>
    </w:p>
    <w:p w:rsidR="005B7F58" w:rsidRPr="00DB6FFF" w:rsidRDefault="005B7F58" w:rsidP="007310E6">
      <w:pPr>
        <w:pStyle w:val="BodyText"/>
        <w:numPr>
          <w:ilvl w:val="0"/>
          <w:numId w:val="16"/>
        </w:numPr>
        <w:rPr>
          <w:rFonts w:ascii="Calibri" w:hAnsi="Calibri" w:cs="Calibri"/>
        </w:rPr>
      </w:pPr>
      <w:r w:rsidRPr="00DB6FFF">
        <w:rPr>
          <w:rFonts w:ascii="Calibri" w:hAnsi="Calibri" w:cs="Calibri"/>
        </w:rPr>
        <w:t xml:space="preserve">Focused on identifying </w:t>
      </w:r>
      <w:r w:rsidR="007F3379">
        <w:rPr>
          <w:rFonts w:ascii="Calibri" w:hAnsi="Calibri" w:cs="Calibri"/>
        </w:rPr>
        <w:t>risks</w:t>
      </w:r>
      <w:r w:rsidR="007F3379" w:rsidRPr="00DB6FFF">
        <w:rPr>
          <w:rFonts w:ascii="Calibri" w:hAnsi="Calibri" w:cs="Calibri"/>
        </w:rPr>
        <w:t xml:space="preserve"> </w:t>
      </w:r>
      <w:r w:rsidRPr="00DB6FFF">
        <w:rPr>
          <w:rFonts w:ascii="Calibri" w:hAnsi="Calibri" w:cs="Calibri"/>
        </w:rPr>
        <w:t xml:space="preserve">to transit agency safety;  </w:t>
      </w:r>
    </w:p>
    <w:p w:rsidR="005B7F58" w:rsidRPr="00DB6FFF" w:rsidRDefault="005B7F58" w:rsidP="007310E6">
      <w:pPr>
        <w:pStyle w:val="BodyText"/>
        <w:numPr>
          <w:ilvl w:val="0"/>
          <w:numId w:val="16"/>
        </w:numPr>
        <w:rPr>
          <w:rFonts w:ascii="Calibri" w:hAnsi="Calibri" w:cs="Calibri"/>
        </w:rPr>
      </w:pPr>
      <w:r w:rsidRPr="00DB6FFF">
        <w:rPr>
          <w:rFonts w:ascii="Calibri" w:hAnsi="Calibri" w:cs="Calibri"/>
        </w:rPr>
        <w:t>Voluntary;</w:t>
      </w:r>
    </w:p>
    <w:p w:rsidR="005B7F58" w:rsidRPr="00DB6FFF" w:rsidRDefault="005B7F58" w:rsidP="007310E6">
      <w:pPr>
        <w:pStyle w:val="BodyText"/>
        <w:numPr>
          <w:ilvl w:val="0"/>
          <w:numId w:val="16"/>
        </w:numPr>
        <w:rPr>
          <w:rFonts w:ascii="Calibri" w:hAnsi="Calibri" w:cs="Calibri"/>
        </w:rPr>
      </w:pPr>
      <w:r w:rsidRPr="00DB6FFF">
        <w:rPr>
          <w:rFonts w:ascii="Calibri" w:hAnsi="Calibri" w:cs="Calibri"/>
        </w:rPr>
        <w:t xml:space="preserve">Confidential; and </w:t>
      </w:r>
    </w:p>
    <w:p w:rsidR="005B7F58" w:rsidRPr="00DB6FFF" w:rsidRDefault="005B7F58" w:rsidP="007310E6">
      <w:pPr>
        <w:pStyle w:val="BodyText"/>
        <w:numPr>
          <w:ilvl w:val="0"/>
          <w:numId w:val="16"/>
        </w:numPr>
        <w:rPr>
          <w:rFonts w:ascii="Calibri" w:hAnsi="Calibri" w:cs="Calibri"/>
        </w:rPr>
      </w:pPr>
      <w:r w:rsidRPr="00DB6FFF">
        <w:rPr>
          <w:rFonts w:ascii="Calibri" w:hAnsi="Calibri" w:cs="Calibri"/>
        </w:rPr>
        <w:t>Provide</w:t>
      </w:r>
      <w:r w:rsidR="007F3379">
        <w:rPr>
          <w:rFonts w:ascii="Calibri" w:hAnsi="Calibri" w:cs="Calibri"/>
        </w:rPr>
        <w:t>s</w:t>
      </w:r>
      <w:r w:rsidRPr="00DB6FFF">
        <w:rPr>
          <w:rFonts w:ascii="Calibri" w:hAnsi="Calibri" w:cs="Calibri"/>
        </w:rPr>
        <w:t xml:space="preserve"> participating employees with protection from discipline by the employer in specified reporting situations.</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93" w:name="_Toc316336519"/>
      <w:bookmarkStart w:id="94" w:name="_Toc317097323"/>
      <w:bookmarkStart w:id="95" w:name="_Toc317106165"/>
      <w:r w:rsidRPr="00DB6FFF">
        <w:rPr>
          <w:rFonts w:ascii="Calibri" w:hAnsi="Calibri" w:cs="Calibri"/>
        </w:rPr>
        <w:t>Key Stakeholders</w:t>
      </w:r>
      <w:bookmarkEnd w:id="93"/>
      <w:bookmarkEnd w:id="94"/>
      <w:bookmarkEnd w:id="95"/>
    </w:p>
    <w:p w:rsidR="005B7F58" w:rsidRDefault="005B7F58" w:rsidP="005B7F58">
      <w:pPr>
        <w:pStyle w:val="BodyText"/>
        <w:rPr>
          <w:rStyle w:val="CommentReference"/>
          <w:rFonts w:ascii="Calibri" w:eastAsia="Calibri" w:hAnsi="Calibri"/>
          <w:color w:val="auto"/>
        </w:rPr>
      </w:pPr>
      <w:r w:rsidRPr="00DB6FFF">
        <w:rPr>
          <w:rFonts w:ascii="Calibri" w:hAnsi="Calibri" w:cs="Calibri"/>
        </w:rPr>
        <w:t xml:space="preserve">The primary organizations that will be involved in the </w:t>
      </w:r>
      <w:r w:rsidR="00F149DF">
        <w:rPr>
          <w:rFonts w:ascii="Calibri" w:hAnsi="Calibri" w:cs="Calibri"/>
        </w:rPr>
        <w:t>pilot</w:t>
      </w:r>
      <w:r w:rsidRPr="00DB6FFF">
        <w:rPr>
          <w:rFonts w:ascii="Calibri" w:hAnsi="Calibri" w:cs="Calibri"/>
        </w:rPr>
        <w:t xml:space="preserve"> project </w:t>
      </w:r>
      <w:r w:rsidR="005444DE">
        <w:rPr>
          <w:rFonts w:ascii="Calibri" w:hAnsi="Calibri" w:cs="Calibri"/>
        </w:rPr>
        <w:t>are: FTA Office of Safety; the t</w:t>
      </w:r>
      <w:r w:rsidRPr="00DB6FFF">
        <w:rPr>
          <w:rFonts w:ascii="Calibri" w:hAnsi="Calibri" w:cs="Calibri"/>
        </w:rPr>
        <w:t xml:space="preserve">hird party; an independent organization to conduct program evaluation; the RTAs; the labor organizations; </w:t>
      </w:r>
      <w:r w:rsidR="00C510A9">
        <w:rPr>
          <w:rFonts w:ascii="Calibri" w:hAnsi="Calibri" w:cs="Calibri"/>
        </w:rPr>
        <w:t xml:space="preserve">the relevant SSO; </w:t>
      </w:r>
      <w:r w:rsidRPr="00DB6FFF">
        <w:rPr>
          <w:rFonts w:ascii="Calibri" w:hAnsi="Calibri" w:cs="Calibri"/>
        </w:rPr>
        <w:t>and the Peer Review Team (PRT), an expert team comprised of the key stakeholder representatives from the RTAs</w:t>
      </w:r>
      <w:r w:rsidR="002502DB">
        <w:rPr>
          <w:rFonts w:ascii="Calibri" w:hAnsi="Calibri" w:cs="Calibri"/>
        </w:rPr>
        <w:t>,</w:t>
      </w:r>
      <w:r w:rsidR="00435236">
        <w:rPr>
          <w:rFonts w:ascii="Calibri" w:hAnsi="Calibri" w:cs="Calibri"/>
        </w:rPr>
        <w:t xml:space="preserve"> </w:t>
      </w:r>
      <w:r w:rsidRPr="00DB6FFF">
        <w:rPr>
          <w:rFonts w:ascii="Calibri" w:hAnsi="Calibri" w:cs="Calibri"/>
        </w:rPr>
        <w:t>representatives from relevant labor organizations</w:t>
      </w:r>
      <w:r w:rsidR="002502DB">
        <w:rPr>
          <w:rFonts w:ascii="Calibri" w:hAnsi="Calibri" w:cs="Calibri"/>
        </w:rPr>
        <w:t>, and in some cases</w:t>
      </w:r>
      <w:r w:rsidR="00920E2E">
        <w:rPr>
          <w:rFonts w:ascii="Calibri" w:hAnsi="Calibri" w:cs="Calibri"/>
        </w:rPr>
        <w:t>,</w:t>
      </w:r>
      <w:r w:rsidR="002502DB">
        <w:rPr>
          <w:rFonts w:ascii="Calibri" w:hAnsi="Calibri" w:cs="Calibri"/>
        </w:rPr>
        <w:t xml:space="preserve"> SSOs</w:t>
      </w:r>
      <w:r w:rsidR="00435236">
        <w:rPr>
          <w:rStyle w:val="CommentReference"/>
          <w:rFonts w:ascii="Calibri" w:eastAsia="Calibri" w:hAnsi="Calibri"/>
          <w:color w:val="auto"/>
        </w:rPr>
        <w:t>.</w:t>
      </w:r>
    </w:p>
    <w:p w:rsidR="005B7F58" w:rsidRPr="00DB6FFF" w:rsidRDefault="005B7F58" w:rsidP="001F6E20">
      <w:pPr>
        <w:pStyle w:val="Heading2"/>
        <w:keepLines w:val="0"/>
        <w:numPr>
          <w:ilvl w:val="1"/>
          <w:numId w:val="14"/>
        </w:numPr>
        <w:spacing w:before="120" w:after="120" w:line="240" w:lineRule="auto"/>
        <w:rPr>
          <w:rFonts w:ascii="Calibri" w:hAnsi="Calibri" w:cs="Calibri"/>
        </w:rPr>
      </w:pPr>
      <w:bookmarkStart w:id="96" w:name="_Toc316336520"/>
      <w:bookmarkStart w:id="97" w:name="_Toc317097324"/>
      <w:bookmarkStart w:id="98" w:name="_Toc317106166"/>
      <w:r w:rsidRPr="00DB6FFF">
        <w:rPr>
          <w:rFonts w:ascii="Calibri" w:hAnsi="Calibri" w:cs="Calibri"/>
        </w:rPr>
        <w:lastRenderedPageBreak/>
        <w:t>Steps in the reporting process</w:t>
      </w:r>
      <w:bookmarkEnd w:id="92"/>
      <w:bookmarkEnd w:id="96"/>
      <w:bookmarkEnd w:id="97"/>
      <w:bookmarkEnd w:id="98"/>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250"/>
      </w:tblGrid>
      <w:tr w:rsidR="005B7F58" w:rsidRPr="00B77C28" w:rsidTr="00D9485F">
        <w:trPr>
          <w:cantSplit/>
          <w:trHeight w:val="188"/>
          <w:tblHeader/>
        </w:trPr>
        <w:tc>
          <w:tcPr>
            <w:tcW w:w="7740" w:type="dxa"/>
          </w:tcPr>
          <w:p w:rsidR="005B7F58" w:rsidRPr="00DB6FFF" w:rsidRDefault="005B7F58" w:rsidP="00A10834">
            <w:pPr>
              <w:pStyle w:val="BodyText"/>
              <w:keepNext/>
              <w:keepLines/>
              <w:spacing w:before="60" w:after="20"/>
              <w:jc w:val="center"/>
              <w:rPr>
                <w:rFonts w:ascii="Calibri" w:hAnsi="Calibri" w:cs="Calibri"/>
                <w:b/>
                <w:bCs/>
                <w:sz w:val="20"/>
              </w:rPr>
            </w:pPr>
            <w:r w:rsidRPr="00DB6FFF">
              <w:rPr>
                <w:rFonts w:ascii="Calibri" w:hAnsi="Calibri" w:cs="Calibri"/>
                <w:b/>
                <w:bCs/>
                <w:sz w:val="20"/>
              </w:rPr>
              <w:t>Step</w:t>
            </w:r>
          </w:p>
        </w:tc>
        <w:tc>
          <w:tcPr>
            <w:tcW w:w="2250" w:type="dxa"/>
          </w:tcPr>
          <w:p w:rsidR="005B7F58" w:rsidRPr="00DB6FFF" w:rsidRDefault="005B7F58" w:rsidP="00A10834">
            <w:pPr>
              <w:pStyle w:val="BodyText"/>
              <w:keepNext/>
              <w:keepLines/>
              <w:spacing w:before="60" w:after="20"/>
              <w:jc w:val="center"/>
              <w:rPr>
                <w:rFonts w:ascii="Calibri" w:hAnsi="Calibri" w:cs="Calibri"/>
                <w:b/>
                <w:bCs/>
                <w:sz w:val="20"/>
              </w:rPr>
            </w:pPr>
            <w:r w:rsidRPr="00DB6FFF">
              <w:rPr>
                <w:rFonts w:ascii="Calibri" w:hAnsi="Calibri" w:cs="Calibri"/>
                <w:b/>
                <w:bCs/>
                <w:sz w:val="20"/>
              </w:rPr>
              <w:t>Responsible party</w:t>
            </w:r>
          </w:p>
        </w:tc>
      </w:tr>
      <w:tr w:rsidR="005B7F58" w:rsidRPr="00B77C28" w:rsidTr="00D9485F">
        <w:trPr>
          <w:tblHeader/>
        </w:trPr>
        <w:tc>
          <w:tcPr>
            <w:tcW w:w="7740" w:type="dxa"/>
          </w:tcPr>
          <w:p w:rsidR="005B7F58" w:rsidRPr="00DB6FFF" w:rsidRDefault="005B7F58" w:rsidP="007310E6">
            <w:pPr>
              <w:pStyle w:val="BodyText"/>
              <w:keepNext/>
              <w:keepLines/>
              <w:numPr>
                <w:ilvl w:val="0"/>
                <w:numId w:val="11"/>
              </w:numPr>
              <w:spacing w:before="60" w:after="60"/>
              <w:rPr>
                <w:rFonts w:ascii="Calibri" w:hAnsi="Calibri" w:cs="Calibri"/>
                <w:sz w:val="20"/>
              </w:rPr>
            </w:pPr>
            <w:r w:rsidRPr="00DB6FFF">
              <w:rPr>
                <w:rFonts w:ascii="Calibri" w:hAnsi="Calibri" w:cs="Calibri"/>
                <w:sz w:val="20"/>
              </w:rPr>
              <w:t>Identify an unsafe event or condition and initiate a close call report.</w:t>
            </w:r>
          </w:p>
        </w:tc>
        <w:tc>
          <w:tcPr>
            <w:tcW w:w="2250" w:type="dxa"/>
          </w:tcPr>
          <w:p w:rsidR="005B7F58" w:rsidRPr="00DB6FFF" w:rsidRDefault="005B7F58" w:rsidP="00A10834">
            <w:pPr>
              <w:pStyle w:val="BodyText"/>
              <w:keepNext/>
              <w:keepLines/>
              <w:spacing w:before="60" w:after="60"/>
              <w:rPr>
                <w:rFonts w:ascii="Calibri" w:hAnsi="Calibri" w:cs="Calibri"/>
                <w:sz w:val="20"/>
              </w:rPr>
            </w:pPr>
            <w:r w:rsidRPr="00DB6FFF">
              <w:rPr>
                <w:rFonts w:ascii="Calibri" w:hAnsi="Calibri" w:cs="Calibri"/>
                <w:sz w:val="20"/>
              </w:rPr>
              <w:t xml:space="preserve">Employee(s) </w:t>
            </w:r>
          </w:p>
        </w:tc>
      </w:tr>
      <w:tr w:rsidR="005B7F58" w:rsidRPr="00B77C28" w:rsidTr="00D9485F">
        <w:trPr>
          <w:tblHeader/>
        </w:trPr>
        <w:tc>
          <w:tcPr>
            <w:tcW w:w="7740" w:type="dxa"/>
          </w:tcPr>
          <w:p w:rsidR="005B7F58" w:rsidRPr="00DB6FFF" w:rsidRDefault="005B7F58" w:rsidP="007310E6">
            <w:pPr>
              <w:pStyle w:val="BodyText"/>
              <w:keepNext/>
              <w:keepLines/>
              <w:numPr>
                <w:ilvl w:val="0"/>
                <w:numId w:val="11"/>
              </w:numPr>
              <w:spacing w:before="60" w:after="0"/>
              <w:rPr>
                <w:rFonts w:ascii="Calibri" w:hAnsi="Calibri" w:cs="Calibri"/>
                <w:sz w:val="20"/>
              </w:rPr>
            </w:pPr>
            <w:r w:rsidRPr="00DB6FFF">
              <w:rPr>
                <w:rFonts w:ascii="Calibri" w:hAnsi="Calibri" w:cs="Calibri"/>
                <w:sz w:val="20"/>
              </w:rPr>
              <w:t xml:space="preserve">Enter close call report in tracking system if it meets </w:t>
            </w:r>
            <w:r w:rsidR="00DB17B3">
              <w:rPr>
                <w:rFonts w:ascii="Calibri" w:hAnsi="Calibri" w:cs="Calibri"/>
                <w:sz w:val="20"/>
              </w:rPr>
              <w:t xml:space="preserve">preliminary </w:t>
            </w:r>
            <w:r w:rsidRPr="00DB6FFF">
              <w:rPr>
                <w:rFonts w:ascii="Calibri" w:hAnsi="Calibri" w:cs="Calibri"/>
                <w:sz w:val="20"/>
              </w:rPr>
              <w:t>acceptance criteria.</w:t>
            </w:r>
            <w:r w:rsidRPr="00DB6FFF">
              <w:rPr>
                <w:rStyle w:val="FootnoteReference"/>
                <w:rFonts w:ascii="Calibri" w:hAnsi="Calibri" w:cs="Calibri"/>
                <w:sz w:val="20"/>
              </w:rPr>
              <w:footnoteReference w:id="6"/>
            </w:r>
            <w:r w:rsidRPr="00DB6FFF">
              <w:rPr>
                <w:rFonts w:ascii="Calibri" w:hAnsi="Calibri" w:cs="Calibri"/>
                <w:sz w:val="20"/>
              </w:rPr>
              <w:t xml:space="preserve"> </w:t>
            </w:r>
          </w:p>
          <w:p w:rsidR="005B7F58" w:rsidRPr="00DB6FFF" w:rsidRDefault="005B7F58" w:rsidP="007D75CB">
            <w:pPr>
              <w:pStyle w:val="BodyText"/>
              <w:numPr>
                <w:ilvl w:val="0"/>
                <w:numId w:val="17"/>
              </w:numPr>
              <w:spacing w:before="20" w:after="0"/>
              <w:rPr>
                <w:rFonts w:ascii="Calibri" w:hAnsi="Calibri" w:cs="Calibri"/>
                <w:sz w:val="20"/>
              </w:rPr>
            </w:pPr>
            <w:r w:rsidRPr="00DB6FFF">
              <w:rPr>
                <w:rFonts w:ascii="Calibri" w:hAnsi="Calibri" w:cs="Calibri"/>
                <w:sz w:val="20"/>
              </w:rPr>
              <w:t>Confirm eligibility (see section 7.1</w:t>
            </w:r>
            <w:r w:rsidR="0088429D">
              <w:rPr>
                <w:rFonts w:ascii="Calibri" w:hAnsi="Calibri" w:cs="Calibri"/>
                <w:sz w:val="20"/>
              </w:rPr>
              <w:t>,</w:t>
            </w:r>
            <w:r w:rsidRPr="00DB6FFF">
              <w:rPr>
                <w:rFonts w:ascii="Calibri" w:hAnsi="Calibri" w:cs="Calibri"/>
                <w:sz w:val="20"/>
              </w:rPr>
              <w:t xml:space="preserve"> criteria for close call report acceptance).</w:t>
            </w:r>
          </w:p>
          <w:p w:rsidR="005B7F58" w:rsidRPr="00DB6FFF" w:rsidRDefault="005B7F58" w:rsidP="007D75CB">
            <w:pPr>
              <w:pStyle w:val="BodyText"/>
              <w:numPr>
                <w:ilvl w:val="0"/>
                <w:numId w:val="17"/>
              </w:numPr>
              <w:spacing w:before="20" w:after="0"/>
              <w:rPr>
                <w:rFonts w:ascii="Calibri" w:hAnsi="Calibri" w:cs="Calibri"/>
                <w:sz w:val="20"/>
              </w:rPr>
            </w:pPr>
            <w:r w:rsidRPr="00DB6FFF">
              <w:rPr>
                <w:rFonts w:ascii="Calibri" w:hAnsi="Calibri" w:cs="Calibri"/>
                <w:sz w:val="20"/>
              </w:rPr>
              <w:t>Date stamp and assign number.</w:t>
            </w:r>
          </w:p>
          <w:p w:rsidR="005B7F58" w:rsidRDefault="005B7F58" w:rsidP="007D75CB">
            <w:pPr>
              <w:pStyle w:val="BodyText"/>
              <w:numPr>
                <w:ilvl w:val="0"/>
                <w:numId w:val="17"/>
              </w:numPr>
              <w:spacing w:before="20" w:after="40"/>
              <w:rPr>
                <w:rFonts w:ascii="Calibri" w:hAnsi="Calibri" w:cs="Calibri"/>
                <w:sz w:val="20"/>
              </w:rPr>
            </w:pPr>
            <w:r w:rsidRPr="00DB6FFF">
              <w:rPr>
                <w:rFonts w:ascii="Calibri" w:hAnsi="Calibri" w:cs="Calibri"/>
                <w:sz w:val="20"/>
              </w:rPr>
              <w:t>Mail receipt to employee.</w:t>
            </w:r>
          </w:p>
          <w:p w:rsidR="003F6635" w:rsidRPr="00DB6FFF" w:rsidRDefault="003F6635" w:rsidP="007D75CB">
            <w:pPr>
              <w:pStyle w:val="BodyText"/>
              <w:numPr>
                <w:ilvl w:val="0"/>
                <w:numId w:val="17"/>
              </w:numPr>
              <w:spacing w:before="20" w:after="40"/>
              <w:rPr>
                <w:rFonts w:ascii="Calibri" w:hAnsi="Calibri" w:cs="Calibri"/>
                <w:sz w:val="20"/>
              </w:rPr>
            </w:pPr>
            <w:r>
              <w:rPr>
                <w:rFonts w:ascii="Calibri" w:hAnsi="Calibri" w:cs="Calibri"/>
                <w:sz w:val="20"/>
              </w:rPr>
              <w:t>Provide feedback to reporting employee(s) if report is rejected. Destroy non-qualifying reports.</w:t>
            </w:r>
          </w:p>
        </w:tc>
        <w:tc>
          <w:tcPr>
            <w:tcW w:w="2250" w:type="dxa"/>
          </w:tcPr>
          <w:p w:rsidR="005B7F58" w:rsidRPr="00DB6FFF" w:rsidRDefault="005B7F58" w:rsidP="00A10834">
            <w:pPr>
              <w:pStyle w:val="BodyText"/>
              <w:keepNext/>
              <w:keepLines/>
              <w:spacing w:before="60" w:after="60"/>
              <w:rPr>
                <w:rFonts w:ascii="Calibri" w:hAnsi="Calibri" w:cs="Calibri"/>
                <w:sz w:val="20"/>
              </w:rPr>
            </w:pPr>
            <w:r w:rsidRPr="00DB6FFF">
              <w:rPr>
                <w:rFonts w:ascii="Calibri" w:hAnsi="Calibri" w:cs="Calibri"/>
                <w:sz w:val="20"/>
              </w:rPr>
              <w:t>Third party/ Contractor</w:t>
            </w:r>
          </w:p>
        </w:tc>
      </w:tr>
      <w:tr w:rsidR="005B7F58" w:rsidRPr="00B77C28" w:rsidTr="00D9485F">
        <w:trPr>
          <w:tblHeader/>
        </w:trPr>
        <w:tc>
          <w:tcPr>
            <w:tcW w:w="7740" w:type="dxa"/>
          </w:tcPr>
          <w:p w:rsidR="005B7F58" w:rsidRPr="00DB6FFF" w:rsidRDefault="005B7F58" w:rsidP="007D75CB">
            <w:pPr>
              <w:pStyle w:val="BodyText"/>
              <w:keepNext/>
              <w:keepLines/>
              <w:numPr>
                <w:ilvl w:val="0"/>
                <w:numId w:val="11"/>
              </w:numPr>
              <w:spacing w:before="60" w:after="40"/>
              <w:rPr>
                <w:rFonts w:ascii="Calibri" w:hAnsi="Calibri" w:cs="Calibri"/>
                <w:sz w:val="20"/>
              </w:rPr>
            </w:pPr>
            <w:r w:rsidRPr="00DB6FFF">
              <w:rPr>
                <w:rFonts w:ascii="Calibri" w:hAnsi="Calibri" w:cs="Calibri"/>
                <w:sz w:val="20"/>
              </w:rPr>
              <w:t>Interviewer calls employee(s) to collect additional details about close call event or unsafe condition.  If it meets acceptance criteria, report receives final acceptance.</w:t>
            </w:r>
          </w:p>
        </w:tc>
        <w:tc>
          <w:tcPr>
            <w:tcW w:w="2250" w:type="dxa"/>
          </w:tcPr>
          <w:p w:rsidR="005B7F58" w:rsidRPr="00DB6FFF" w:rsidRDefault="005B7F58" w:rsidP="00A10834">
            <w:pPr>
              <w:pStyle w:val="BodyText"/>
              <w:keepNext/>
              <w:keepLines/>
              <w:spacing w:before="60" w:after="60"/>
              <w:rPr>
                <w:rFonts w:ascii="Calibri" w:hAnsi="Calibri" w:cs="Calibri"/>
                <w:sz w:val="20"/>
              </w:rPr>
            </w:pPr>
            <w:r w:rsidRPr="00DB6FFF">
              <w:rPr>
                <w:rFonts w:ascii="Calibri" w:hAnsi="Calibri" w:cs="Calibri"/>
                <w:sz w:val="20"/>
              </w:rPr>
              <w:t>Third party / Contractor</w:t>
            </w:r>
          </w:p>
        </w:tc>
      </w:tr>
      <w:tr w:rsidR="005B7F58" w:rsidRPr="00B77C28" w:rsidTr="00D9485F">
        <w:trPr>
          <w:tblHeader/>
        </w:trPr>
        <w:tc>
          <w:tcPr>
            <w:tcW w:w="7740" w:type="dxa"/>
          </w:tcPr>
          <w:p w:rsidR="005B7F58" w:rsidRPr="00DB6FFF" w:rsidRDefault="005B7F58" w:rsidP="007D75CB">
            <w:pPr>
              <w:pStyle w:val="BodyText"/>
              <w:numPr>
                <w:ilvl w:val="0"/>
                <w:numId w:val="11"/>
              </w:numPr>
              <w:spacing w:before="60" w:after="40"/>
              <w:rPr>
                <w:rFonts w:ascii="Calibri" w:hAnsi="Calibri" w:cs="Calibri"/>
                <w:sz w:val="20"/>
              </w:rPr>
            </w:pPr>
            <w:r w:rsidRPr="00DB6FFF">
              <w:rPr>
                <w:rFonts w:ascii="Calibri" w:hAnsi="Calibri" w:cs="Calibri"/>
                <w:sz w:val="20"/>
              </w:rPr>
              <w:t>De-identify close call report.</w:t>
            </w:r>
          </w:p>
        </w:tc>
        <w:tc>
          <w:tcPr>
            <w:tcW w:w="2250" w:type="dxa"/>
          </w:tcPr>
          <w:p w:rsidR="005B7F58" w:rsidRPr="00DB6FFF" w:rsidRDefault="005B7F58" w:rsidP="00A10834">
            <w:pPr>
              <w:pStyle w:val="BodyText"/>
              <w:keepNext/>
              <w:keepLines/>
              <w:spacing w:before="60" w:after="60"/>
              <w:rPr>
                <w:rFonts w:ascii="Calibri" w:hAnsi="Calibri" w:cs="Calibri"/>
                <w:sz w:val="20"/>
              </w:rPr>
            </w:pPr>
            <w:r w:rsidRPr="00DB6FFF">
              <w:rPr>
                <w:rFonts w:ascii="Calibri" w:hAnsi="Calibri" w:cs="Calibri"/>
                <w:sz w:val="20"/>
              </w:rPr>
              <w:t>Third party / Contractor</w:t>
            </w:r>
          </w:p>
        </w:tc>
      </w:tr>
      <w:tr w:rsidR="005B7F58" w:rsidRPr="00B77C28" w:rsidTr="00D9485F">
        <w:trPr>
          <w:tblHeader/>
        </w:trPr>
        <w:tc>
          <w:tcPr>
            <w:tcW w:w="7740" w:type="dxa"/>
          </w:tcPr>
          <w:p w:rsidR="005B7F58" w:rsidRPr="00DB6FFF" w:rsidRDefault="005B7F58" w:rsidP="007D75CB">
            <w:pPr>
              <w:pStyle w:val="BodyText"/>
              <w:numPr>
                <w:ilvl w:val="0"/>
                <w:numId w:val="11"/>
              </w:numPr>
              <w:spacing w:before="60" w:after="40"/>
              <w:rPr>
                <w:rFonts w:ascii="Calibri" w:hAnsi="Calibri" w:cs="Calibri"/>
                <w:sz w:val="20"/>
              </w:rPr>
            </w:pPr>
            <w:r w:rsidRPr="00DB6FFF">
              <w:rPr>
                <w:rFonts w:ascii="Calibri" w:hAnsi="Calibri" w:cs="Calibri"/>
                <w:sz w:val="20"/>
              </w:rPr>
              <w:t>Analyze individual close call report for preliminary root causes and error recovery mechanisms.  Analyze multiple reports for emerging trends and new sources of risk.  Produce a rep</w:t>
            </w:r>
            <w:r w:rsidR="00DB17B3">
              <w:rPr>
                <w:rFonts w:ascii="Calibri" w:hAnsi="Calibri" w:cs="Calibri"/>
                <w:sz w:val="20"/>
              </w:rPr>
              <w:t>ort based on the collected data and forward to the PRT for analysis.</w:t>
            </w:r>
          </w:p>
        </w:tc>
        <w:tc>
          <w:tcPr>
            <w:tcW w:w="2250" w:type="dxa"/>
          </w:tcPr>
          <w:p w:rsidR="005B7F58" w:rsidRPr="00DB6FFF" w:rsidRDefault="005B7F58" w:rsidP="00A10834">
            <w:pPr>
              <w:pStyle w:val="BodyText"/>
              <w:keepNext/>
              <w:keepLines/>
              <w:spacing w:before="60" w:after="60"/>
              <w:rPr>
                <w:rFonts w:ascii="Calibri" w:hAnsi="Calibri" w:cs="Calibri"/>
                <w:sz w:val="20"/>
              </w:rPr>
            </w:pPr>
            <w:r w:rsidRPr="00DB6FFF">
              <w:rPr>
                <w:rFonts w:ascii="Calibri" w:hAnsi="Calibri" w:cs="Calibri"/>
                <w:sz w:val="20"/>
              </w:rPr>
              <w:t>Third party / Contractor</w:t>
            </w:r>
          </w:p>
        </w:tc>
      </w:tr>
      <w:tr w:rsidR="005B7F58" w:rsidRPr="00B77C28" w:rsidTr="00D9485F">
        <w:trPr>
          <w:tblHeader/>
        </w:trPr>
        <w:tc>
          <w:tcPr>
            <w:tcW w:w="7740" w:type="dxa"/>
          </w:tcPr>
          <w:p w:rsidR="005B7F58" w:rsidRPr="00DB6FFF" w:rsidRDefault="005B7F58" w:rsidP="007310E6">
            <w:pPr>
              <w:pStyle w:val="BodyText"/>
              <w:numPr>
                <w:ilvl w:val="0"/>
                <w:numId w:val="11"/>
              </w:numPr>
              <w:spacing w:before="60" w:after="60"/>
              <w:rPr>
                <w:rFonts w:ascii="Calibri" w:hAnsi="Calibri" w:cs="Calibri"/>
                <w:sz w:val="20"/>
              </w:rPr>
            </w:pPr>
            <w:r w:rsidRPr="00DB6FFF">
              <w:rPr>
                <w:rFonts w:ascii="Calibri" w:hAnsi="Calibri" w:cs="Calibri"/>
                <w:sz w:val="20"/>
              </w:rPr>
              <w:t>Meet at regular intervals to:</w:t>
            </w:r>
          </w:p>
          <w:p w:rsidR="005B7F58" w:rsidRPr="00DB6FFF" w:rsidRDefault="005B7F58" w:rsidP="007D75CB">
            <w:pPr>
              <w:pStyle w:val="BodyText"/>
              <w:numPr>
                <w:ilvl w:val="0"/>
                <w:numId w:val="18"/>
              </w:numPr>
              <w:spacing w:before="20" w:after="40"/>
              <w:rPr>
                <w:rFonts w:ascii="Calibri" w:hAnsi="Calibri" w:cs="Calibri"/>
                <w:sz w:val="20"/>
              </w:rPr>
            </w:pPr>
            <w:r w:rsidRPr="00DB6FFF">
              <w:rPr>
                <w:rFonts w:ascii="Calibri" w:hAnsi="Calibri" w:cs="Calibri"/>
                <w:sz w:val="20"/>
              </w:rPr>
              <w:t>Analyze each close call report (after identifying information has been removed) and root causes;</w:t>
            </w:r>
          </w:p>
          <w:p w:rsidR="005B7F58" w:rsidRPr="00DB6FFF" w:rsidRDefault="005B7F58" w:rsidP="007D75CB">
            <w:pPr>
              <w:pStyle w:val="BodyText"/>
              <w:numPr>
                <w:ilvl w:val="0"/>
                <w:numId w:val="18"/>
              </w:numPr>
              <w:spacing w:before="20" w:after="40"/>
              <w:rPr>
                <w:rFonts w:ascii="Calibri" w:hAnsi="Calibri" w:cs="Calibri"/>
                <w:sz w:val="20"/>
              </w:rPr>
            </w:pPr>
            <w:r w:rsidRPr="00DB6FFF">
              <w:rPr>
                <w:rFonts w:ascii="Calibri" w:hAnsi="Calibri" w:cs="Calibri"/>
                <w:sz w:val="20"/>
              </w:rPr>
              <w:t>Analyze summarized data from multiple reports;</w:t>
            </w:r>
          </w:p>
          <w:p w:rsidR="005B7F58" w:rsidRPr="00DB6FFF" w:rsidRDefault="005B7F58" w:rsidP="007D75CB">
            <w:pPr>
              <w:pStyle w:val="BodyText"/>
              <w:numPr>
                <w:ilvl w:val="0"/>
                <w:numId w:val="18"/>
              </w:numPr>
              <w:spacing w:before="20" w:after="40"/>
              <w:rPr>
                <w:rFonts w:ascii="Calibri" w:hAnsi="Calibri" w:cs="Calibri"/>
                <w:sz w:val="20"/>
              </w:rPr>
            </w:pPr>
            <w:r w:rsidRPr="00DB6FFF">
              <w:rPr>
                <w:rFonts w:ascii="Calibri" w:hAnsi="Calibri" w:cs="Calibri"/>
                <w:sz w:val="20"/>
              </w:rPr>
              <w:t xml:space="preserve">Identify new sources of emerging trends </w:t>
            </w:r>
            <w:r w:rsidR="0088429D">
              <w:rPr>
                <w:rFonts w:ascii="Calibri" w:hAnsi="Calibri" w:cs="Calibri"/>
                <w:sz w:val="20"/>
              </w:rPr>
              <w:t>and</w:t>
            </w:r>
            <w:r w:rsidRPr="00DB6FFF">
              <w:rPr>
                <w:rFonts w:ascii="Calibri" w:hAnsi="Calibri" w:cs="Calibri"/>
                <w:sz w:val="20"/>
              </w:rPr>
              <w:t xml:space="preserve"> new types of safety-critical risks;</w:t>
            </w:r>
          </w:p>
          <w:p w:rsidR="005B7F58" w:rsidRPr="00DB6FFF" w:rsidRDefault="005B7F58" w:rsidP="007D75CB">
            <w:pPr>
              <w:pStyle w:val="BodyText"/>
              <w:numPr>
                <w:ilvl w:val="0"/>
                <w:numId w:val="18"/>
              </w:numPr>
              <w:spacing w:before="20" w:after="40"/>
              <w:rPr>
                <w:rFonts w:ascii="Calibri" w:hAnsi="Calibri" w:cs="Calibri"/>
                <w:sz w:val="20"/>
              </w:rPr>
            </w:pPr>
            <w:r w:rsidRPr="00DB6FFF">
              <w:rPr>
                <w:rFonts w:ascii="Calibri" w:hAnsi="Calibri" w:cs="Calibri"/>
                <w:sz w:val="20"/>
              </w:rPr>
              <w:t xml:space="preserve">Assess the association between emerging patterns or trends in close calls, relate those to corrective actions to be taken by the RTAs, and advise on implementation; </w:t>
            </w:r>
          </w:p>
          <w:p w:rsidR="005B7F58" w:rsidRDefault="005B7F58" w:rsidP="007D75CB">
            <w:pPr>
              <w:pStyle w:val="BodyText"/>
              <w:numPr>
                <w:ilvl w:val="0"/>
                <w:numId w:val="18"/>
              </w:numPr>
              <w:spacing w:before="20" w:after="40"/>
              <w:rPr>
                <w:rFonts w:ascii="Calibri" w:hAnsi="Calibri" w:cs="Calibri"/>
                <w:sz w:val="20"/>
              </w:rPr>
            </w:pPr>
            <w:r w:rsidRPr="00DB6FFF">
              <w:rPr>
                <w:rFonts w:ascii="Calibri" w:hAnsi="Calibri" w:cs="Calibri"/>
                <w:sz w:val="20"/>
              </w:rPr>
              <w:t xml:space="preserve">Review and discuss a summary report comprised of the individual close call reports generated from the Close Call </w:t>
            </w:r>
            <w:r w:rsidR="0036201E">
              <w:rPr>
                <w:rFonts w:ascii="Calibri" w:hAnsi="Calibri" w:cs="Calibri"/>
                <w:sz w:val="20"/>
              </w:rPr>
              <w:t xml:space="preserve">Safety </w:t>
            </w:r>
            <w:r w:rsidRPr="00DB6FFF">
              <w:rPr>
                <w:rFonts w:ascii="Calibri" w:hAnsi="Calibri" w:cs="Calibri"/>
                <w:sz w:val="20"/>
              </w:rPr>
              <w:t>Reporting System, emerging trends, identified root causes</w:t>
            </w:r>
            <w:r w:rsidR="0088429D">
              <w:rPr>
                <w:rFonts w:ascii="Calibri" w:hAnsi="Calibri" w:cs="Calibri"/>
                <w:sz w:val="20"/>
              </w:rPr>
              <w:t>,</w:t>
            </w:r>
            <w:r w:rsidRPr="00DB6FFF">
              <w:rPr>
                <w:rFonts w:ascii="Calibri" w:hAnsi="Calibri" w:cs="Calibri"/>
                <w:sz w:val="20"/>
              </w:rPr>
              <w:t xml:space="preserve"> and suggested corrective actions;</w:t>
            </w:r>
          </w:p>
          <w:p w:rsidR="00B208A1" w:rsidRPr="00DB6FFF" w:rsidRDefault="00B208A1" w:rsidP="007D75CB">
            <w:pPr>
              <w:pStyle w:val="BodyText"/>
              <w:numPr>
                <w:ilvl w:val="0"/>
                <w:numId w:val="18"/>
              </w:numPr>
              <w:spacing w:before="20" w:after="40"/>
              <w:rPr>
                <w:rFonts w:ascii="Calibri" w:hAnsi="Calibri" w:cs="Calibri"/>
                <w:sz w:val="20"/>
              </w:rPr>
            </w:pPr>
            <w:r w:rsidRPr="00DB6FFF">
              <w:rPr>
                <w:rFonts w:ascii="Calibri" w:hAnsi="Calibri" w:cs="Calibri"/>
                <w:sz w:val="20"/>
              </w:rPr>
              <w:t>Review and discuss all repo</w:t>
            </w:r>
            <w:r w:rsidR="00D5215A">
              <w:rPr>
                <w:rFonts w:ascii="Calibri" w:hAnsi="Calibri" w:cs="Calibri"/>
                <w:sz w:val="20"/>
              </w:rPr>
              <w:t>rts prior to their distribution; and</w:t>
            </w:r>
          </w:p>
          <w:p w:rsidR="005B7F58" w:rsidRPr="00D5215A" w:rsidRDefault="005B7F58" w:rsidP="007D75CB">
            <w:pPr>
              <w:pStyle w:val="BodyText"/>
              <w:numPr>
                <w:ilvl w:val="0"/>
                <w:numId w:val="18"/>
              </w:numPr>
              <w:spacing w:before="20" w:after="40"/>
              <w:rPr>
                <w:rFonts w:ascii="Calibri" w:hAnsi="Calibri" w:cs="Calibri"/>
                <w:sz w:val="20"/>
              </w:rPr>
            </w:pPr>
            <w:r w:rsidRPr="00DB6FFF">
              <w:rPr>
                <w:rFonts w:ascii="Calibri" w:hAnsi="Calibri" w:cs="Calibri"/>
                <w:sz w:val="20"/>
              </w:rPr>
              <w:t>Distribute report to participating transit agencies and FTA giving feedback on close calls, emerging trends and newly identified risks, which were provided by</w:t>
            </w:r>
            <w:r w:rsidR="00D5215A">
              <w:rPr>
                <w:rFonts w:ascii="Calibri" w:hAnsi="Calibri" w:cs="Calibri"/>
                <w:sz w:val="20"/>
              </w:rPr>
              <w:t xml:space="preserve"> the third party to the PRT.</w:t>
            </w:r>
          </w:p>
        </w:tc>
        <w:tc>
          <w:tcPr>
            <w:tcW w:w="2250" w:type="dxa"/>
          </w:tcPr>
          <w:p w:rsidR="005B7F58" w:rsidRPr="00DB6FFF" w:rsidRDefault="005B7F58" w:rsidP="00A10834">
            <w:pPr>
              <w:pStyle w:val="BodyText"/>
              <w:spacing w:before="60" w:after="60"/>
              <w:rPr>
                <w:rFonts w:ascii="Calibri" w:hAnsi="Calibri" w:cs="Calibri"/>
                <w:sz w:val="20"/>
              </w:rPr>
            </w:pPr>
            <w:r w:rsidRPr="00DB6FFF">
              <w:rPr>
                <w:rFonts w:ascii="Calibri" w:hAnsi="Calibri" w:cs="Calibri"/>
                <w:sz w:val="20"/>
              </w:rPr>
              <w:t>PRT</w:t>
            </w:r>
          </w:p>
        </w:tc>
      </w:tr>
      <w:tr w:rsidR="005B7F58" w:rsidRPr="00B77C28" w:rsidTr="00D9485F">
        <w:trPr>
          <w:tblHeader/>
        </w:trPr>
        <w:tc>
          <w:tcPr>
            <w:tcW w:w="7740" w:type="dxa"/>
          </w:tcPr>
          <w:p w:rsidR="005B7F58" w:rsidRPr="00DB6FFF" w:rsidRDefault="005B7F58" w:rsidP="007310E6">
            <w:pPr>
              <w:pStyle w:val="BodyText"/>
              <w:numPr>
                <w:ilvl w:val="0"/>
                <w:numId w:val="11"/>
              </w:numPr>
              <w:spacing w:before="60" w:after="60"/>
              <w:rPr>
                <w:rFonts w:ascii="Calibri" w:hAnsi="Calibri" w:cs="Calibri"/>
                <w:sz w:val="20"/>
              </w:rPr>
            </w:pPr>
            <w:r w:rsidRPr="00DB6FFF">
              <w:rPr>
                <w:rFonts w:ascii="Calibri" w:hAnsi="Calibri" w:cs="Calibri"/>
                <w:sz w:val="20"/>
              </w:rPr>
              <w:t>Review individual RTAs’ decisions on corrective actions.</w:t>
            </w:r>
          </w:p>
        </w:tc>
        <w:tc>
          <w:tcPr>
            <w:tcW w:w="2250" w:type="dxa"/>
          </w:tcPr>
          <w:p w:rsidR="005B7F58" w:rsidRPr="00DB6FFF" w:rsidRDefault="005B7F58" w:rsidP="00A10834">
            <w:pPr>
              <w:pStyle w:val="BodyText"/>
              <w:spacing w:before="60" w:after="60"/>
              <w:rPr>
                <w:rFonts w:ascii="Calibri" w:hAnsi="Calibri" w:cs="Calibri"/>
                <w:sz w:val="20"/>
              </w:rPr>
            </w:pPr>
            <w:r w:rsidRPr="00DB6FFF">
              <w:rPr>
                <w:rFonts w:ascii="Calibri" w:hAnsi="Calibri" w:cs="Calibri"/>
                <w:sz w:val="20"/>
              </w:rPr>
              <w:t>RTA</w:t>
            </w:r>
          </w:p>
        </w:tc>
      </w:tr>
      <w:tr w:rsidR="005B7F58" w:rsidRPr="00B77C28" w:rsidTr="00D9485F">
        <w:trPr>
          <w:tblHeader/>
        </w:trPr>
        <w:tc>
          <w:tcPr>
            <w:tcW w:w="7740" w:type="dxa"/>
          </w:tcPr>
          <w:p w:rsidR="005B7F58" w:rsidRPr="00DB6FFF" w:rsidRDefault="005B7F58" w:rsidP="007310E6">
            <w:pPr>
              <w:pStyle w:val="BodyText"/>
              <w:numPr>
                <w:ilvl w:val="0"/>
                <w:numId w:val="11"/>
              </w:numPr>
              <w:spacing w:before="60" w:after="60"/>
              <w:rPr>
                <w:rFonts w:ascii="Calibri" w:hAnsi="Calibri" w:cs="Calibri"/>
                <w:sz w:val="20"/>
              </w:rPr>
            </w:pPr>
            <w:r w:rsidRPr="00DB6FFF">
              <w:rPr>
                <w:rFonts w:ascii="Calibri" w:hAnsi="Calibri" w:cs="Calibri"/>
                <w:sz w:val="20"/>
              </w:rPr>
              <w:t>Provide the third party with information on decisions made with respect to corrective actions (see section 11).</w:t>
            </w:r>
          </w:p>
        </w:tc>
        <w:tc>
          <w:tcPr>
            <w:tcW w:w="2250" w:type="dxa"/>
          </w:tcPr>
          <w:p w:rsidR="005B7F58" w:rsidRPr="00DB6FFF" w:rsidRDefault="005B7F58" w:rsidP="00A10834">
            <w:pPr>
              <w:pStyle w:val="BodyText"/>
              <w:spacing w:before="60" w:after="60"/>
              <w:rPr>
                <w:rFonts w:ascii="Calibri" w:hAnsi="Calibri" w:cs="Calibri"/>
                <w:sz w:val="20"/>
              </w:rPr>
            </w:pPr>
            <w:r w:rsidRPr="00DB6FFF">
              <w:rPr>
                <w:rFonts w:ascii="Calibri" w:hAnsi="Calibri" w:cs="Calibri"/>
                <w:sz w:val="20"/>
              </w:rPr>
              <w:t>RTA</w:t>
            </w:r>
          </w:p>
        </w:tc>
      </w:tr>
      <w:tr w:rsidR="005B7F58" w:rsidRPr="00B77C28" w:rsidTr="00D9485F">
        <w:trPr>
          <w:tblHeader/>
        </w:trPr>
        <w:tc>
          <w:tcPr>
            <w:tcW w:w="7740" w:type="dxa"/>
          </w:tcPr>
          <w:p w:rsidR="005B7F58" w:rsidRPr="00DB6FFF" w:rsidRDefault="005B7F58" w:rsidP="007310E6">
            <w:pPr>
              <w:pStyle w:val="BodyText"/>
              <w:numPr>
                <w:ilvl w:val="0"/>
                <w:numId w:val="11"/>
              </w:numPr>
              <w:spacing w:before="60" w:after="60"/>
              <w:rPr>
                <w:rFonts w:ascii="Calibri" w:hAnsi="Calibri" w:cs="Calibri"/>
                <w:sz w:val="20"/>
              </w:rPr>
            </w:pPr>
            <w:r w:rsidRPr="00DB6FFF">
              <w:rPr>
                <w:rFonts w:ascii="Calibri" w:hAnsi="Calibri" w:cs="Calibri"/>
                <w:sz w:val="20"/>
              </w:rPr>
              <w:t>Track corrective actions taken in response to close call events.</w:t>
            </w:r>
            <w:r w:rsidR="003F6635">
              <w:rPr>
                <w:rFonts w:ascii="Calibri" w:hAnsi="Calibri" w:cs="Calibri"/>
                <w:sz w:val="20"/>
              </w:rPr>
              <w:t xml:space="preserve"> Share this information with the third party.</w:t>
            </w:r>
          </w:p>
        </w:tc>
        <w:tc>
          <w:tcPr>
            <w:tcW w:w="2250" w:type="dxa"/>
          </w:tcPr>
          <w:p w:rsidR="005B7F58" w:rsidRPr="00DB6FFF" w:rsidRDefault="005B7F58" w:rsidP="00A10834">
            <w:pPr>
              <w:pStyle w:val="BodyText"/>
              <w:spacing w:before="60" w:after="60"/>
              <w:rPr>
                <w:rFonts w:ascii="Calibri" w:hAnsi="Calibri" w:cs="Calibri"/>
                <w:sz w:val="20"/>
              </w:rPr>
            </w:pPr>
            <w:r w:rsidRPr="00DB6FFF">
              <w:rPr>
                <w:rFonts w:ascii="Calibri" w:hAnsi="Calibri" w:cs="Calibri"/>
                <w:sz w:val="20"/>
              </w:rPr>
              <w:t>PRT</w:t>
            </w:r>
          </w:p>
        </w:tc>
      </w:tr>
      <w:tr w:rsidR="005B7F58" w:rsidRPr="00B77C28" w:rsidTr="00D9485F">
        <w:trPr>
          <w:tblHeader/>
        </w:trPr>
        <w:tc>
          <w:tcPr>
            <w:tcW w:w="7740" w:type="dxa"/>
          </w:tcPr>
          <w:p w:rsidR="005B7F58" w:rsidRPr="00DB6FFF" w:rsidRDefault="005B7F58" w:rsidP="007310E6">
            <w:pPr>
              <w:pStyle w:val="BodyText"/>
              <w:numPr>
                <w:ilvl w:val="0"/>
                <w:numId w:val="11"/>
              </w:numPr>
              <w:spacing w:before="60" w:after="60"/>
              <w:rPr>
                <w:rFonts w:ascii="Calibri" w:hAnsi="Calibri" w:cs="Calibri"/>
                <w:sz w:val="20"/>
              </w:rPr>
            </w:pPr>
            <w:r w:rsidRPr="00DB6FFF">
              <w:rPr>
                <w:rFonts w:ascii="Calibri" w:hAnsi="Calibri" w:cs="Calibri"/>
                <w:sz w:val="20"/>
              </w:rPr>
              <w:t>Make feedback available to employee</w:t>
            </w:r>
            <w:r w:rsidR="00930FAB">
              <w:rPr>
                <w:rFonts w:ascii="Calibri" w:hAnsi="Calibri" w:cs="Calibri"/>
                <w:sz w:val="20"/>
              </w:rPr>
              <w:t>s</w:t>
            </w:r>
            <w:r w:rsidRPr="00DB6FFF">
              <w:rPr>
                <w:rFonts w:ascii="Calibri" w:hAnsi="Calibri" w:cs="Calibri"/>
                <w:sz w:val="20"/>
              </w:rPr>
              <w:t xml:space="preserve"> on corrective actions.</w:t>
            </w:r>
          </w:p>
        </w:tc>
        <w:tc>
          <w:tcPr>
            <w:tcW w:w="2250" w:type="dxa"/>
          </w:tcPr>
          <w:p w:rsidR="005B7F58" w:rsidRPr="00DB6FFF" w:rsidRDefault="005B7F58" w:rsidP="00A10834">
            <w:pPr>
              <w:pStyle w:val="BodyText"/>
              <w:keepNext/>
              <w:keepLines/>
              <w:spacing w:before="60" w:after="60"/>
              <w:rPr>
                <w:rFonts w:ascii="Calibri" w:hAnsi="Calibri" w:cs="Calibri"/>
                <w:sz w:val="20"/>
              </w:rPr>
            </w:pPr>
            <w:r w:rsidRPr="00DB6FFF">
              <w:rPr>
                <w:rFonts w:ascii="Calibri" w:hAnsi="Calibri" w:cs="Calibri"/>
                <w:sz w:val="20"/>
              </w:rPr>
              <w:t>Third party / Contractor</w:t>
            </w:r>
          </w:p>
        </w:tc>
      </w:tr>
      <w:tr w:rsidR="005B7F58" w:rsidRPr="00B77C28" w:rsidTr="00D9485F">
        <w:trPr>
          <w:tblHeader/>
        </w:trPr>
        <w:tc>
          <w:tcPr>
            <w:tcW w:w="7740" w:type="dxa"/>
          </w:tcPr>
          <w:p w:rsidR="005B7F58" w:rsidRPr="00DB6FFF" w:rsidRDefault="005B7F58" w:rsidP="007310E6">
            <w:pPr>
              <w:pStyle w:val="BodyText"/>
              <w:numPr>
                <w:ilvl w:val="0"/>
                <w:numId w:val="11"/>
              </w:numPr>
              <w:spacing w:before="60" w:after="60"/>
              <w:rPr>
                <w:rFonts w:ascii="Calibri" w:hAnsi="Calibri" w:cs="Calibri"/>
                <w:sz w:val="20"/>
              </w:rPr>
            </w:pPr>
            <w:r w:rsidRPr="00DB6FFF">
              <w:rPr>
                <w:rFonts w:ascii="Calibri" w:hAnsi="Calibri" w:cs="Calibri"/>
                <w:sz w:val="20"/>
              </w:rPr>
              <w:t xml:space="preserve">Draft quarterly report to summarize emerging trends and corrective actions; distribute to all participants and FTA and put on a Close Call </w:t>
            </w:r>
            <w:r w:rsidR="0036201E">
              <w:rPr>
                <w:rFonts w:ascii="Calibri" w:hAnsi="Calibri" w:cs="Calibri"/>
                <w:sz w:val="20"/>
              </w:rPr>
              <w:t xml:space="preserve">Safety Reporting System </w:t>
            </w:r>
            <w:r w:rsidRPr="00DB6FFF">
              <w:rPr>
                <w:rFonts w:ascii="Calibri" w:hAnsi="Calibri" w:cs="Calibri"/>
                <w:sz w:val="20"/>
              </w:rPr>
              <w:t>website.</w:t>
            </w:r>
          </w:p>
        </w:tc>
        <w:tc>
          <w:tcPr>
            <w:tcW w:w="2250" w:type="dxa"/>
          </w:tcPr>
          <w:p w:rsidR="005B7F58" w:rsidRPr="00DB6FFF" w:rsidRDefault="005B7F58" w:rsidP="00A10834">
            <w:pPr>
              <w:pStyle w:val="BodyText"/>
              <w:keepNext/>
              <w:keepLines/>
              <w:spacing w:before="60" w:after="60"/>
              <w:rPr>
                <w:rFonts w:ascii="Calibri" w:hAnsi="Calibri" w:cs="Calibri"/>
                <w:sz w:val="20"/>
              </w:rPr>
            </w:pPr>
            <w:r w:rsidRPr="00DB6FFF">
              <w:rPr>
                <w:rFonts w:ascii="Calibri" w:hAnsi="Calibri" w:cs="Calibri"/>
                <w:sz w:val="20"/>
              </w:rPr>
              <w:t>Third party / Contractor</w:t>
            </w:r>
          </w:p>
        </w:tc>
      </w:tr>
      <w:tr w:rsidR="005B7F58" w:rsidRPr="00B77C28" w:rsidTr="00D9485F">
        <w:trPr>
          <w:tblHeader/>
        </w:trPr>
        <w:tc>
          <w:tcPr>
            <w:tcW w:w="7740" w:type="dxa"/>
          </w:tcPr>
          <w:p w:rsidR="005B7F58" w:rsidRPr="00DB6FFF" w:rsidRDefault="005B7F58" w:rsidP="007310E6">
            <w:pPr>
              <w:pStyle w:val="BodyText"/>
              <w:numPr>
                <w:ilvl w:val="0"/>
                <w:numId w:val="11"/>
              </w:numPr>
              <w:spacing w:before="60" w:after="60"/>
              <w:rPr>
                <w:rFonts w:ascii="Calibri" w:hAnsi="Calibri" w:cs="Calibri"/>
                <w:sz w:val="20"/>
              </w:rPr>
            </w:pPr>
            <w:r w:rsidRPr="00DB6FFF">
              <w:rPr>
                <w:rFonts w:ascii="Calibri" w:hAnsi="Calibri" w:cs="Calibri"/>
                <w:sz w:val="20"/>
              </w:rPr>
              <w:lastRenderedPageBreak/>
              <w:t xml:space="preserve">Write an annual report describing the status of the project, any modifications made and lessons learned to date; describe emerging trends and recommended solutions; distribute and put on a Close Call </w:t>
            </w:r>
            <w:r w:rsidR="0036201E">
              <w:rPr>
                <w:rFonts w:ascii="Calibri" w:hAnsi="Calibri" w:cs="Calibri"/>
                <w:sz w:val="20"/>
              </w:rPr>
              <w:t xml:space="preserve">Safety Reporting System </w:t>
            </w:r>
            <w:r w:rsidRPr="00DB6FFF">
              <w:rPr>
                <w:rFonts w:ascii="Calibri" w:hAnsi="Calibri" w:cs="Calibri"/>
                <w:sz w:val="20"/>
              </w:rPr>
              <w:t xml:space="preserve">website. </w:t>
            </w:r>
          </w:p>
        </w:tc>
        <w:tc>
          <w:tcPr>
            <w:tcW w:w="2250" w:type="dxa"/>
          </w:tcPr>
          <w:p w:rsidR="005B7F58" w:rsidRPr="00DB6FFF" w:rsidRDefault="005B7F58" w:rsidP="00A10834">
            <w:pPr>
              <w:pStyle w:val="BodyText"/>
              <w:keepNext/>
              <w:keepLines/>
              <w:spacing w:before="60" w:after="60"/>
              <w:rPr>
                <w:rFonts w:ascii="Calibri" w:hAnsi="Calibri" w:cs="Calibri"/>
                <w:sz w:val="20"/>
              </w:rPr>
            </w:pPr>
            <w:r w:rsidRPr="00DB6FFF">
              <w:rPr>
                <w:rFonts w:ascii="Calibri" w:hAnsi="Calibri" w:cs="Calibri"/>
                <w:sz w:val="20"/>
              </w:rPr>
              <w:t>Third party / Contractor</w:t>
            </w:r>
          </w:p>
        </w:tc>
      </w:tr>
    </w:tbl>
    <w:p w:rsidR="005B7F58" w:rsidRPr="00DB6FFF" w:rsidRDefault="005B7F58" w:rsidP="005B7F58">
      <w:pPr>
        <w:pStyle w:val="BodyText"/>
        <w:rPr>
          <w:rFonts w:ascii="Calibri" w:hAnsi="Calibri" w:cs="Calibri"/>
        </w:rPr>
      </w:pPr>
      <w:r w:rsidRPr="00DB6FFF">
        <w:rPr>
          <w:rFonts w:ascii="Calibri" w:hAnsi="Calibri" w:cs="Calibri"/>
        </w:rPr>
        <w:t>Reporting, tracking</w:t>
      </w:r>
      <w:r w:rsidR="005B298A">
        <w:rPr>
          <w:rFonts w:ascii="Calibri" w:hAnsi="Calibri" w:cs="Calibri"/>
        </w:rPr>
        <w:t>,</w:t>
      </w:r>
      <w:r w:rsidRPr="00DB6FFF">
        <w:rPr>
          <w:rFonts w:ascii="Calibri" w:hAnsi="Calibri" w:cs="Calibri"/>
        </w:rPr>
        <w:t xml:space="preserve"> and corrective action monitoring systems all will be developed and improved over time.</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99" w:name="_Toc75579420"/>
      <w:bookmarkStart w:id="100" w:name="_Toc316336521"/>
      <w:bookmarkStart w:id="101" w:name="_Toc317097325"/>
      <w:bookmarkStart w:id="102" w:name="_Toc317106167"/>
      <w:r w:rsidRPr="00DB6FFF">
        <w:rPr>
          <w:rFonts w:ascii="Calibri" w:hAnsi="Calibri" w:cs="Calibri"/>
        </w:rPr>
        <w:t>Eligibility</w:t>
      </w:r>
      <w:bookmarkEnd w:id="99"/>
      <w:bookmarkEnd w:id="100"/>
      <w:bookmarkEnd w:id="101"/>
      <w:bookmarkEnd w:id="102"/>
      <w:r w:rsidRPr="00DB6FFF">
        <w:rPr>
          <w:rFonts w:ascii="Calibri" w:hAnsi="Calibri" w:cs="Calibri"/>
        </w:rPr>
        <w:t xml:space="preserve"> </w:t>
      </w:r>
    </w:p>
    <w:p w:rsidR="005B7F58" w:rsidRPr="00DB6FFF" w:rsidRDefault="005B7F58" w:rsidP="005B7F58">
      <w:pPr>
        <w:pStyle w:val="BodyText"/>
        <w:tabs>
          <w:tab w:val="left" w:pos="4500"/>
        </w:tabs>
        <w:rPr>
          <w:rFonts w:ascii="Calibri" w:hAnsi="Calibri" w:cs="Calibri"/>
        </w:rPr>
      </w:pPr>
      <w:r w:rsidRPr="00DB6FFF">
        <w:rPr>
          <w:rFonts w:ascii="Calibri" w:hAnsi="Calibri" w:cs="Calibri"/>
        </w:rPr>
        <w:t xml:space="preserve">The Close Call </w:t>
      </w:r>
      <w:r w:rsidR="0036201E">
        <w:rPr>
          <w:rFonts w:ascii="Calibri" w:hAnsi="Calibri" w:cs="Calibri"/>
        </w:rPr>
        <w:t xml:space="preserve">Safety Reporting System </w:t>
      </w:r>
      <w:r w:rsidR="00F149DF">
        <w:rPr>
          <w:rFonts w:ascii="Calibri" w:hAnsi="Calibri" w:cs="Calibri"/>
        </w:rPr>
        <w:t>pilot</w:t>
      </w:r>
      <w:r w:rsidRPr="00DB6FFF">
        <w:rPr>
          <w:rFonts w:ascii="Calibri" w:hAnsi="Calibri" w:cs="Calibri"/>
        </w:rPr>
        <w:t xml:space="preserve"> project applies to RTAs and their employees who are included in an implementing MOU, as provided in section 12.  An individual transit agency employee filing a close call report in accordance with section 7 must belong to </w:t>
      </w:r>
      <w:r w:rsidR="00930FAB">
        <w:rPr>
          <w:rFonts w:ascii="Calibri" w:hAnsi="Calibri" w:cs="Calibri"/>
        </w:rPr>
        <w:t xml:space="preserve">an included </w:t>
      </w:r>
      <w:r w:rsidRPr="00DB6FFF">
        <w:rPr>
          <w:rFonts w:ascii="Calibri" w:hAnsi="Calibri" w:cs="Calibri"/>
        </w:rPr>
        <w:t>group and be performing in a role covered under an implementing MOU in order to receive protection from RTA disc</w:t>
      </w:r>
      <w:r w:rsidR="0099467D">
        <w:rPr>
          <w:rFonts w:ascii="Calibri" w:hAnsi="Calibri" w:cs="Calibri"/>
        </w:rPr>
        <w:t>ipline.</w:t>
      </w:r>
      <w:r w:rsidR="00930FAB">
        <w:rPr>
          <w:rFonts w:ascii="Calibri" w:hAnsi="Calibri" w:cs="Calibri"/>
        </w:rPr>
        <w:t xml:space="preserve"> </w:t>
      </w:r>
      <w:r w:rsidR="00930FAB" w:rsidRPr="00930FAB">
        <w:rPr>
          <w:rFonts w:ascii="Calibri" w:hAnsi="Calibri" w:cs="Calibri"/>
        </w:rPr>
        <w:t>Whenever feasible, all employees and contractors of a</w:t>
      </w:r>
      <w:r w:rsidR="00556012">
        <w:rPr>
          <w:rFonts w:ascii="Calibri" w:hAnsi="Calibri" w:cs="Calibri"/>
        </w:rPr>
        <w:t>n</w:t>
      </w:r>
      <w:r w:rsidR="00930FAB" w:rsidRPr="00930FAB">
        <w:rPr>
          <w:rFonts w:ascii="Calibri" w:hAnsi="Calibri" w:cs="Calibri"/>
        </w:rPr>
        <w:t xml:space="preserve"> RTA should be included in the implementing MOU.</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03" w:name="_Toc75579421"/>
      <w:bookmarkStart w:id="104" w:name="_Toc316336522"/>
      <w:bookmarkStart w:id="105" w:name="_Toc317097326"/>
      <w:bookmarkStart w:id="106" w:name="_Toc317106168"/>
      <w:r w:rsidRPr="00DB6FFF">
        <w:rPr>
          <w:rFonts w:ascii="Calibri" w:hAnsi="Calibri" w:cs="Calibri"/>
        </w:rPr>
        <w:t>Reporting Procedures</w:t>
      </w:r>
      <w:bookmarkEnd w:id="103"/>
      <w:bookmarkEnd w:id="104"/>
      <w:bookmarkEnd w:id="105"/>
      <w:bookmarkEnd w:id="106"/>
    </w:p>
    <w:p w:rsidR="005B7F58" w:rsidRPr="00DB6FFF" w:rsidRDefault="005B7F58" w:rsidP="005B7F58">
      <w:pPr>
        <w:pStyle w:val="BodyText"/>
        <w:rPr>
          <w:rFonts w:ascii="Calibri" w:hAnsi="Calibri" w:cs="Calibri"/>
        </w:rPr>
      </w:pPr>
      <w:r w:rsidRPr="00DB6FFF">
        <w:rPr>
          <w:rFonts w:ascii="Calibri" w:hAnsi="Calibri" w:cs="Calibri"/>
        </w:rPr>
        <w:t>When an employee of a</w:t>
      </w:r>
      <w:r w:rsidR="00997E8D">
        <w:rPr>
          <w:rFonts w:ascii="Calibri" w:hAnsi="Calibri" w:cs="Calibri"/>
        </w:rPr>
        <w:t>n</w:t>
      </w:r>
      <w:r w:rsidRPr="00DB6FFF">
        <w:rPr>
          <w:rFonts w:ascii="Calibri" w:hAnsi="Calibri" w:cs="Calibri"/>
        </w:rPr>
        <w:t xml:space="preserve"> RTA included in an implementing MOU observes a safety problem or experiences a close call event, he or she should note the problem or event and describe it in enough detail using the third</w:t>
      </w:r>
      <w:r w:rsidR="005B674F">
        <w:rPr>
          <w:rFonts w:ascii="Calibri" w:hAnsi="Calibri" w:cs="Calibri"/>
        </w:rPr>
        <w:t>-</w:t>
      </w:r>
      <w:r w:rsidRPr="00DB6FFF">
        <w:rPr>
          <w:rFonts w:ascii="Calibri" w:hAnsi="Calibri" w:cs="Calibri"/>
        </w:rPr>
        <w:t>party close call reporting form so that it can be evaluated by the third party and the PRT. (All reports will be depersonalized by the third party before the PRT sees them.)</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07" w:name="_Toc75579422"/>
      <w:bookmarkStart w:id="108" w:name="_Toc316336523"/>
      <w:bookmarkStart w:id="109" w:name="_Toc317097327"/>
      <w:bookmarkStart w:id="110" w:name="_Toc317106169"/>
      <w:r w:rsidRPr="00DB6FFF">
        <w:rPr>
          <w:rFonts w:ascii="Calibri" w:hAnsi="Calibri" w:cs="Calibri"/>
        </w:rPr>
        <w:t>Criteria for close call report acceptance</w:t>
      </w:r>
      <w:bookmarkEnd w:id="107"/>
      <w:bookmarkEnd w:id="108"/>
      <w:bookmarkEnd w:id="109"/>
      <w:bookmarkEnd w:id="110"/>
      <w:r w:rsidRPr="00DB6FFF">
        <w:rPr>
          <w:rFonts w:ascii="Calibri" w:hAnsi="Calibri" w:cs="Calibri"/>
        </w:rPr>
        <w:t xml:space="preserve">   </w:t>
      </w:r>
    </w:p>
    <w:p w:rsidR="005B7F58" w:rsidRPr="00DB6FFF" w:rsidRDefault="005B7F58" w:rsidP="005B7F58">
      <w:pPr>
        <w:pStyle w:val="BodyText"/>
        <w:rPr>
          <w:rFonts w:ascii="Calibri" w:hAnsi="Calibri" w:cs="Calibri"/>
        </w:rPr>
      </w:pPr>
      <w:r w:rsidRPr="00DB6FFF">
        <w:rPr>
          <w:rFonts w:ascii="Calibri" w:hAnsi="Calibri" w:cs="Calibri"/>
        </w:rPr>
        <w:t xml:space="preserve">Employees of RTAs participating in the </w:t>
      </w:r>
      <w:r w:rsidR="008D7209">
        <w:rPr>
          <w:rFonts w:ascii="Calibri" w:hAnsi="Calibri" w:cs="Calibri"/>
        </w:rPr>
        <w:t>close call</w:t>
      </w:r>
      <w:r w:rsidR="00047522">
        <w:rPr>
          <w:rFonts w:ascii="Calibri" w:hAnsi="Calibri" w:cs="Calibri"/>
        </w:rPr>
        <w:t xml:space="preserve"> </w:t>
      </w:r>
      <w:r w:rsidR="00422843">
        <w:rPr>
          <w:rFonts w:ascii="Calibri" w:hAnsi="Calibri" w:cs="Calibri"/>
        </w:rPr>
        <w:t xml:space="preserve">safety </w:t>
      </w:r>
      <w:r w:rsidR="00047522">
        <w:rPr>
          <w:rFonts w:ascii="Calibri" w:hAnsi="Calibri" w:cs="Calibri"/>
        </w:rPr>
        <w:t xml:space="preserve">reporting </w:t>
      </w:r>
      <w:r w:rsidR="007776EC">
        <w:rPr>
          <w:rFonts w:ascii="Calibri" w:hAnsi="Calibri" w:cs="Calibri"/>
        </w:rPr>
        <w:t>pilot</w:t>
      </w:r>
      <w:r w:rsidRPr="00DB6FFF">
        <w:rPr>
          <w:rFonts w:ascii="Calibri" w:hAnsi="Calibri" w:cs="Calibri"/>
        </w:rPr>
        <w:t xml:space="preserve"> project can report any safety concern that could lead to an unsafe </w:t>
      </w:r>
      <w:r w:rsidR="00C85F6B">
        <w:rPr>
          <w:rFonts w:ascii="Calibri" w:hAnsi="Calibri" w:cs="Calibri"/>
        </w:rPr>
        <w:t xml:space="preserve">event or condition on the RTA. </w:t>
      </w:r>
      <w:r w:rsidRPr="00DB6FFF">
        <w:rPr>
          <w:rFonts w:ascii="Calibri" w:hAnsi="Calibri" w:cs="Calibri"/>
        </w:rPr>
        <w:t xml:space="preserve">Reports can be accepted for any condition or event that is perceived as potentially endangering employees, the public, </w:t>
      </w:r>
      <w:r w:rsidR="00C85F6B">
        <w:rPr>
          <w:rFonts w:ascii="Calibri" w:hAnsi="Calibri" w:cs="Calibri"/>
        </w:rPr>
        <w:t xml:space="preserve">equipment, or the environment. </w:t>
      </w:r>
      <w:r w:rsidRPr="00DB6FFF">
        <w:rPr>
          <w:rFonts w:ascii="Calibri" w:hAnsi="Calibri" w:cs="Calibri"/>
        </w:rPr>
        <w:t>Any concern about one’s own safety or someone else’s s</w:t>
      </w:r>
      <w:r w:rsidR="00C85F6B">
        <w:rPr>
          <w:rFonts w:ascii="Calibri" w:hAnsi="Calibri" w:cs="Calibri"/>
        </w:rPr>
        <w:t xml:space="preserve">afety at work can be reported. </w:t>
      </w:r>
      <w:r w:rsidRPr="00DB6FFF">
        <w:rPr>
          <w:rFonts w:ascii="Calibri" w:hAnsi="Calibri" w:cs="Calibri"/>
        </w:rPr>
        <w:t>Each close call report must contain sufficiently detailed information about a safety event so that a third party can evaluate it. An interviewer may call the employee to obtain more information about the event; if in doubt, the interviewer will err on the side of accepting the report.</w:t>
      </w:r>
    </w:p>
    <w:p w:rsidR="005B7F58" w:rsidRPr="00DB6FFF" w:rsidRDefault="007F3379" w:rsidP="005B7F58">
      <w:pPr>
        <w:pStyle w:val="BodyText"/>
        <w:rPr>
          <w:rFonts w:ascii="Calibri" w:hAnsi="Calibri" w:cs="Calibri"/>
        </w:rPr>
      </w:pPr>
      <w:r>
        <w:rPr>
          <w:rFonts w:ascii="Calibri" w:hAnsi="Calibri" w:cs="Calibri"/>
        </w:rPr>
        <w:t>The third</w:t>
      </w:r>
      <w:r w:rsidR="00047522">
        <w:rPr>
          <w:rFonts w:ascii="Calibri" w:hAnsi="Calibri" w:cs="Calibri"/>
        </w:rPr>
        <w:t xml:space="preserve"> </w:t>
      </w:r>
      <w:r>
        <w:rPr>
          <w:rFonts w:ascii="Calibri" w:hAnsi="Calibri" w:cs="Calibri"/>
        </w:rPr>
        <w:t xml:space="preserve">party </w:t>
      </w:r>
      <w:r w:rsidR="005B7F58" w:rsidRPr="00DB6FFF">
        <w:rPr>
          <w:rFonts w:ascii="Calibri" w:hAnsi="Calibri" w:cs="Calibri"/>
        </w:rPr>
        <w:t xml:space="preserve">will conduct the first screening and the PRT </w:t>
      </w:r>
      <w:r w:rsidR="00A03D77">
        <w:rPr>
          <w:rFonts w:ascii="Calibri" w:hAnsi="Calibri" w:cs="Calibri"/>
        </w:rPr>
        <w:t xml:space="preserve">may conduct a </w:t>
      </w:r>
      <w:r w:rsidR="005B7F58" w:rsidRPr="00DB6FFF">
        <w:rPr>
          <w:rFonts w:ascii="Calibri" w:hAnsi="Calibri" w:cs="Calibri"/>
        </w:rPr>
        <w:t>second. The following types of reports will be rejected:</w:t>
      </w:r>
    </w:p>
    <w:p w:rsidR="005B7F58" w:rsidRPr="00DB6FFF" w:rsidRDefault="005B7F58" w:rsidP="007310E6">
      <w:pPr>
        <w:pStyle w:val="BodyText"/>
        <w:numPr>
          <w:ilvl w:val="0"/>
          <w:numId w:val="19"/>
        </w:numPr>
        <w:rPr>
          <w:rFonts w:ascii="Calibri" w:hAnsi="Calibri" w:cs="Calibri"/>
        </w:rPr>
      </w:pPr>
      <w:r w:rsidRPr="00DB6FFF">
        <w:rPr>
          <w:rFonts w:ascii="Calibri" w:hAnsi="Calibri" w:cs="Calibri"/>
        </w:rPr>
        <w:t xml:space="preserve">Reports unrelated to transit agency safety; </w:t>
      </w:r>
    </w:p>
    <w:p w:rsidR="005B7F58" w:rsidRPr="00DB6FFF" w:rsidRDefault="005B7F58" w:rsidP="007310E6">
      <w:pPr>
        <w:pStyle w:val="BodyText"/>
        <w:numPr>
          <w:ilvl w:val="0"/>
          <w:numId w:val="19"/>
        </w:numPr>
        <w:rPr>
          <w:rFonts w:ascii="Calibri" w:hAnsi="Calibri" w:cs="Calibri"/>
        </w:rPr>
      </w:pPr>
      <w:r w:rsidRPr="00DB6FFF">
        <w:rPr>
          <w:rFonts w:ascii="Calibri" w:hAnsi="Calibri" w:cs="Calibri"/>
        </w:rPr>
        <w:t>Urgent real-time issues (e.g., a runaway train);</w:t>
      </w:r>
    </w:p>
    <w:p w:rsidR="005B7F58" w:rsidRPr="00DB6FFF" w:rsidRDefault="005B7F58" w:rsidP="007310E6">
      <w:pPr>
        <w:pStyle w:val="BodyText"/>
        <w:numPr>
          <w:ilvl w:val="0"/>
          <w:numId w:val="19"/>
        </w:numPr>
        <w:rPr>
          <w:rFonts w:ascii="Calibri" w:hAnsi="Calibri" w:cs="Calibri"/>
        </w:rPr>
      </w:pPr>
      <w:r w:rsidRPr="00DB6FFF">
        <w:rPr>
          <w:rFonts w:ascii="Calibri" w:hAnsi="Calibri" w:cs="Calibri"/>
        </w:rPr>
        <w:t>Personal grievances; and</w:t>
      </w:r>
    </w:p>
    <w:p w:rsidR="005B7F58" w:rsidRPr="00DB6FFF" w:rsidRDefault="005B7F58" w:rsidP="007310E6">
      <w:pPr>
        <w:pStyle w:val="BodyText"/>
        <w:numPr>
          <w:ilvl w:val="0"/>
          <w:numId w:val="19"/>
        </w:numPr>
        <w:rPr>
          <w:rFonts w:ascii="Calibri" w:hAnsi="Calibri" w:cs="Calibri"/>
        </w:rPr>
      </w:pPr>
      <w:r w:rsidRPr="00DB6FFF">
        <w:rPr>
          <w:rFonts w:ascii="Calibri" w:hAnsi="Calibri" w:cs="Calibri"/>
        </w:rPr>
        <w:t>Labor organization management grievances</w:t>
      </w:r>
      <w:bookmarkStart w:id="111" w:name="_Toc75579423"/>
      <w:r w:rsidRPr="00DB6FFF">
        <w:rPr>
          <w:rFonts w:ascii="Calibri" w:hAnsi="Calibri" w:cs="Calibri"/>
        </w:rPr>
        <w:t xml:space="preserve">. </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12" w:name="_Toc316336524"/>
      <w:bookmarkStart w:id="113" w:name="_Toc317097328"/>
      <w:bookmarkStart w:id="114" w:name="_Toc317106170"/>
      <w:r w:rsidRPr="00DB6FFF">
        <w:rPr>
          <w:rFonts w:ascii="Calibri" w:hAnsi="Calibri" w:cs="Calibri"/>
        </w:rPr>
        <w:lastRenderedPageBreak/>
        <w:t>Close call report form</w:t>
      </w:r>
      <w:bookmarkEnd w:id="111"/>
      <w:bookmarkEnd w:id="112"/>
      <w:bookmarkEnd w:id="113"/>
      <w:bookmarkEnd w:id="114"/>
      <w:r w:rsidRPr="00DB6FFF">
        <w:rPr>
          <w:rFonts w:ascii="Calibri" w:hAnsi="Calibri" w:cs="Calibri"/>
        </w:rPr>
        <w:t xml:space="preserve"> </w:t>
      </w:r>
    </w:p>
    <w:p w:rsidR="005B7F58" w:rsidRPr="00DB6FFF" w:rsidRDefault="00DB6FFF" w:rsidP="005B7F58">
      <w:pPr>
        <w:pStyle w:val="BodyText"/>
        <w:rPr>
          <w:rFonts w:ascii="Calibri" w:hAnsi="Calibri" w:cs="Calibri"/>
        </w:rPr>
      </w:pPr>
      <w:r w:rsidRPr="00DB6FFF">
        <w:rPr>
          <w:rFonts w:ascii="Calibri" w:hAnsi="Calibri" w:cs="Calibri"/>
        </w:rPr>
        <w:t>The</w:t>
      </w:r>
      <w:r w:rsidR="005B7F58" w:rsidRPr="00DB6FFF">
        <w:rPr>
          <w:rFonts w:ascii="Calibri" w:hAnsi="Calibri" w:cs="Calibri"/>
        </w:rPr>
        <w:t xml:space="preserve"> third party will develop a close call report form </w:t>
      </w:r>
      <w:r w:rsidR="000F7C8A">
        <w:rPr>
          <w:rFonts w:ascii="Calibri" w:hAnsi="Calibri" w:cs="Calibri"/>
        </w:rPr>
        <w:t xml:space="preserve">(physical or electronic) </w:t>
      </w:r>
      <w:r w:rsidR="005B7F58" w:rsidRPr="00DB6FFF">
        <w:rPr>
          <w:rFonts w:ascii="Calibri" w:hAnsi="Calibri" w:cs="Calibri"/>
        </w:rPr>
        <w:t xml:space="preserve">that will request information about the date, time, location, contributing factors, actions taken, potential consequences, along with enough other information to fully describe the event or perceived safety problem. The employee should complete the report form and submit it by </w:t>
      </w:r>
      <w:r w:rsidR="000F7C8A">
        <w:rPr>
          <w:rFonts w:ascii="Calibri" w:hAnsi="Calibri" w:cs="Calibri"/>
        </w:rPr>
        <w:t>the mechanism identified in the implementing MOU</w:t>
      </w:r>
      <w:r w:rsidR="005B7F58" w:rsidRPr="00DB6FFF">
        <w:rPr>
          <w:rFonts w:ascii="Calibri" w:hAnsi="Calibri" w:cs="Calibri"/>
        </w:rPr>
        <w:t xml:space="preserve"> to the third party in accordance with the instructions on the form. </w:t>
      </w:r>
      <w:r w:rsidRPr="00DB6FFF">
        <w:rPr>
          <w:rFonts w:ascii="Calibri" w:hAnsi="Calibri" w:cs="Calibri"/>
        </w:rPr>
        <w:t>The</w:t>
      </w:r>
      <w:r w:rsidR="005B7F58" w:rsidRPr="00DB6FFF">
        <w:rPr>
          <w:rFonts w:ascii="Calibri" w:hAnsi="Calibri" w:cs="Calibri"/>
        </w:rPr>
        <w:t xml:space="preserve"> third party will mail a receipt to the employee. All reports will be depersonalized by the third party before the PRT sees them. </w:t>
      </w:r>
    </w:p>
    <w:p w:rsidR="005B7F58" w:rsidRPr="00DB6FFF" w:rsidRDefault="001A28CD" w:rsidP="005B7F58">
      <w:pPr>
        <w:pStyle w:val="BodyText"/>
        <w:rPr>
          <w:rFonts w:ascii="Calibri" w:hAnsi="Calibri" w:cs="Calibri"/>
        </w:rPr>
      </w:pPr>
      <w:r>
        <w:rPr>
          <w:rFonts w:ascii="Calibri" w:hAnsi="Calibri" w:cs="Calibri"/>
        </w:rPr>
        <w:t>T</w:t>
      </w:r>
      <w:r w:rsidR="005B7F58" w:rsidRPr="00DB6FFF">
        <w:rPr>
          <w:rFonts w:ascii="Calibri" w:hAnsi="Calibri" w:cs="Calibri"/>
        </w:rPr>
        <w:t xml:space="preserve">he third party will provide paper copies of the </w:t>
      </w:r>
      <w:r w:rsidR="00546F73">
        <w:rPr>
          <w:rFonts w:ascii="Calibri" w:hAnsi="Calibri" w:cs="Calibri"/>
        </w:rPr>
        <w:t xml:space="preserve">blank </w:t>
      </w:r>
      <w:r w:rsidR="005B7F58" w:rsidRPr="00DB6FFF">
        <w:rPr>
          <w:rFonts w:ascii="Calibri" w:hAnsi="Calibri" w:cs="Calibri"/>
        </w:rPr>
        <w:t>report form</w:t>
      </w:r>
      <w:r w:rsidR="00174AFC" w:rsidRPr="00DB6FFF">
        <w:rPr>
          <w:rFonts w:ascii="Calibri" w:hAnsi="Calibri" w:cs="Calibri"/>
        </w:rPr>
        <w:t xml:space="preserve"> </w:t>
      </w:r>
      <w:r w:rsidR="005B7F58" w:rsidRPr="00DB6FFF">
        <w:rPr>
          <w:rFonts w:ascii="Calibri" w:hAnsi="Calibri" w:cs="Calibri"/>
        </w:rPr>
        <w:t>to the RTAs and labor organizations</w:t>
      </w:r>
      <w:r w:rsidR="00174AFC">
        <w:rPr>
          <w:rFonts w:ascii="Calibri" w:hAnsi="Calibri" w:cs="Calibri"/>
        </w:rPr>
        <w:t xml:space="preserve"> </w:t>
      </w:r>
      <w:r w:rsidR="005B7F58" w:rsidRPr="00DB6FFF">
        <w:rPr>
          <w:rFonts w:ascii="Calibri" w:hAnsi="Calibri" w:cs="Calibri"/>
        </w:rPr>
        <w:t xml:space="preserve">participating in the </w:t>
      </w:r>
      <w:r w:rsidR="008D7209">
        <w:rPr>
          <w:rFonts w:ascii="Calibri" w:hAnsi="Calibri" w:cs="Calibri"/>
        </w:rPr>
        <w:t>close call</w:t>
      </w:r>
      <w:r w:rsidR="007776EC">
        <w:rPr>
          <w:rFonts w:ascii="Calibri" w:hAnsi="Calibri" w:cs="Calibri"/>
        </w:rPr>
        <w:t xml:space="preserve"> </w:t>
      </w:r>
      <w:r w:rsidR="00046A8D">
        <w:rPr>
          <w:rFonts w:ascii="Calibri" w:hAnsi="Calibri" w:cs="Calibri"/>
        </w:rPr>
        <w:t xml:space="preserve">safety </w:t>
      </w:r>
      <w:r w:rsidR="007776EC">
        <w:rPr>
          <w:rFonts w:ascii="Calibri" w:hAnsi="Calibri" w:cs="Calibri"/>
        </w:rPr>
        <w:t>reporting pilot project</w:t>
      </w:r>
      <w:r w:rsidR="005B7F58" w:rsidRPr="00DB6FFF">
        <w:rPr>
          <w:rFonts w:ascii="Calibri" w:hAnsi="Calibri" w:cs="Calibri"/>
        </w:rPr>
        <w:t xml:space="preserve">; participating RTAs will post </w:t>
      </w:r>
      <w:r w:rsidR="000F7C8A">
        <w:rPr>
          <w:rFonts w:ascii="Calibri" w:hAnsi="Calibri" w:cs="Calibri"/>
        </w:rPr>
        <w:t>submission instructions and forms on company bulletin boards and employee websites</w:t>
      </w:r>
      <w:r w:rsidR="005B7F58" w:rsidRPr="00DB6FFF">
        <w:rPr>
          <w:rFonts w:ascii="Calibri" w:hAnsi="Calibri" w:cs="Calibri"/>
        </w:rPr>
        <w:t>.</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15" w:name="_Toc75579424"/>
      <w:bookmarkStart w:id="116" w:name="_Toc316336525"/>
      <w:bookmarkStart w:id="117" w:name="_Toc317097329"/>
      <w:bookmarkStart w:id="118" w:name="_Toc317106171"/>
      <w:r w:rsidRPr="00DB6FFF">
        <w:rPr>
          <w:rFonts w:ascii="Calibri" w:hAnsi="Calibri" w:cs="Calibri"/>
        </w:rPr>
        <w:t xml:space="preserve">Time limit to file report and receive </w:t>
      </w:r>
      <w:bookmarkEnd w:id="115"/>
      <w:r w:rsidRPr="00DB6FFF">
        <w:rPr>
          <w:rFonts w:ascii="Calibri" w:hAnsi="Calibri" w:cs="Calibri"/>
        </w:rPr>
        <w:t>protection from RTA discipline and FTA/SSO enforcement</w:t>
      </w:r>
      <w:bookmarkEnd w:id="116"/>
      <w:bookmarkEnd w:id="117"/>
      <w:bookmarkEnd w:id="118"/>
    </w:p>
    <w:p w:rsidR="00783DCD" w:rsidRDefault="005B7F58" w:rsidP="005B7F58">
      <w:pPr>
        <w:pStyle w:val="BodyText"/>
        <w:keepNext/>
        <w:keepLines/>
        <w:rPr>
          <w:rFonts w:ascii="Calibri" w:hAnsi="Calibri" w:cs="Calibri"/>
        </w:rPr>
      </w:pPr>
      <w:r w:rsidRPr="00DB6FFF">
        <w:rPr>
          <w:rFonts w:ascii="Calibri" w:hAnsi="Calibri" w:cs="Calibri"/>
        </w:rPr>
        <w:t xml:space="preserve">An employee must report an event within </w:t>
      </w:r>
      <w:r w:rsidR="00F149DF">
        <w:rPr>
          <w:rFonts w:ascii="Calibri" w:hAnsi="Calibri" w:cs="Calibri"/>
        </w:rPr>
        <w:t xml:space="preserve">a </w:t>
      </w:r>
      <w:r w:rsidR="00885A69">
        <w:rPr>
          <w:rFonts w:ascii="Calibri" w:hAnsi="Calibri" w:cs="Calibri"/>
        </w:rPr>
        <w:t>timeframe</w:t>
      </w:r>
      <w:r w:rsidR="00F149DF">
        <w:rPr>
          <w:rFonts w:ascii="Calibri" w:hAnsi="Calibri" w:cs="Calibri"/>
        </w:rPr>
        <w:t xml:space="preserve"> established in the </w:t>
      </w:r>
      <w:r w:rsidR="000F7C8A">
        <w:rPr>
          <w:rFonts w:ascii="Calibri" w:hAnsi="Calibri" w:cs="Calibri"/>
        </w:rPr>
        <w:t xml:space="preserve">implementing </w:t>
      </w:r>
      <w:r w:rsidR="00F149DF">
        <w:rPr>
          <w:rFonts w:ascii="Calibri" w:hAnsi="Calibri" w:cs="Calibri"/>
        </w:rPr>
        <w:t>MOU</w:t>
      </w:r>
      <w:r w:rsidRPr="00DB6FFF">
        <w:rPr>
          <w:rFonts w:ascii="Calibri" w:hAnsi="Calibri" w:cs="Calibri"/>
        </w:rPr>
        <w:t xml:space="preserve"> after the occurrence of the event to receive protection from RTA discipline and FTA/SSO enforcement. </w:t>
      </w:r>
    </w:p>
    <w:p w:rsidR="00783DCD" w:rsidRDefault="005B7F58" w:rsidP="005B7F58">
      <w:pPr>
        <w:pStyle w:val="BodyText"/>
        <w:keepNext/>
        <w:keepLines/>
        <w:rPr>
          <w:rFonts w:ascii="Calibri" w:hAnsi="Calibri" w:cs="Calibri"/>
        </w:rPr>
      </w:pPr>
      <w:r w:rsidRPr="00DB6FFF">
        <w:rPr>
          <w:rFonts w:ascii="Calibri" w:hAnsi="Calibri" w:cs="Calibri"/>
        </w:rPr>
        <w:t xml:space="preserve">If </w:t>
      </w:r>
      <w:r w:rsidR="00885A69">
        <w:rPr>
          <w:rFonts w:ascii="Calibri" w:hAnsi="Calibri" w:cs="Calibri"/>
        </w:rPr>
        <w:t>access to the established reporting mechanism(s) is not available,</w:t>
      </w:r>
      <w:r w:rsidRPr="00DB6FFF">
        <w:rPr>
          <w:rFonts w:ascii="Calibri" w:hAnsi="Calibri" w:cs="Calibri"/>
        </w:rPr>
        <w:t xml:space="preserve"> the employee may file a close call report with the third party via telephone within </w:t>
      </w:r>
      <w:r w:rsidR="008D4D72">
        <w:rPr>
          <w:rFonts w:ascii="Calibri" w:hAnsi="Calibri" w:cs="Calibri"/>
        </w:rPr>
        <w:t>the time</w:t>
      </w:r>
      <w:r w:rsidR="00885A69">
        <w:rPr>
          <w:rFonts w:ascii="Calibri" w:hAnsi="Calibri" w:cs="Calibri"/>
        </w:rPr>
        <w:t xml:space="preserve">frame </w:t>
      </w:r>
      <w:r w:rsidR="008D4D72">
        <w:rPr>
          <w:rFonts w:ascii="Calibri" w:hAnsi="Calibri" w:cs="Calibri"/>
        </w:rPr>
        <w:t>established in the implementing MOU</w:t>
      </w:r>
      <w:r w:rsidRPr="00DB6FFF">
        <w:rPr>
          <w:rFonts w:ascii="Calibri" w:hAnsi="Calibri" w:cs="Calibri"/>
        </w:rPr>
        <w:t xml:space="preserve">. </w:t>
      </w:r>
      <w:r w:rsidR="00BF2713">
        <w:rPr>
          <w:rFonts w:ascii="Calibri" w:hAnsi="Calibri" w:cs="Calibri"/>
        </w:rPr>
        <w:t xml:space="preserve">The third party will record the date and time that the close call report telephone call is made. </w:t>
      </w:r>
      <w:r w:rsidR="00783DCD">
        <w:rPr>
          <w:rFonts w:ascii="Calibri" w:hAnsi="Calibri" w:cs="Calibri"/>
        </w:rPr>
        <w:t xml:space="preserve">Reports submitted by telephone outside the established timeframe will be rejected as non-qualifying reports. </w:t>
      </w:r>
    </w:p>
    <w:p w:rsidR="005B7F58" w:rsidRPr="00DB6FFF" w:rsidRDefault="005B7F58" w:rsidP="005B7F58">
      <w:pPr>
        <w:pStyle w:val="BodyText"/>
        <w:keepNext/>
        <w:keepLines/>
        <w:rPr>
          <w:rFonts w:ascii="Calibri" w:hAnsi="Calibri" w:cs="Calibri"/>
        </w:rPr>
      </w:pPr>
      <w:r w:rsidRPr="00DB6FFF">
        <w:rPr>
          <w:rFonts w:ascii="Calibri" w:hAnsi="Calibri" w:cs="Calibri"/>
        </w:rPr>
        <w:t>Reports filed by telephone must be followed</w:t>
      </w:r>
      <w:r w:rsidR="00885A69">
        <w:rPr>
          <w:rFonts w:ascii="Calibri" w:hAnsi="Calibri" w:cs="Calibri"/>
        </w:rPr>
        <w:t>, within an established time frame,</w:t>
      </w:r>
      <w:r w:rsidRPr="00DB6FFF">
        <w:rPr>
          <w:rFonts w:ascii="Calibri" w:hAnsi="Calibri" w:cs="Calibri"/>
        </w:rPr>
        <w:t xml:space="preserve"> by a formal written close call report submission to the third party that is </w:t>
      </w:r>
      <w:r w:rsidR="00885A69">
        <w:rPr>
          <w:rFonts w:ascii="Calibri" w:hAnsi="Calibri" w:cs="Calibri"/>
        </w:rPr>
        <w:t>submitted via the established standard reporting mechanism(s)</w:t>
      </w:r>
      <w:r w:rsidR="00783DCD">
        <w:rPr>
          <w:rFonts w:ascii="Calibri" w:hAnsi="Calibri" w:cs="Calibri"/>
        </w:rPr>
        <w:t>.</w:t>
      </w:r>
      <w:r w:rsidRPr="00DB6FFF">
        <w:rPr>
          <w:rFonts w:ascii="Calibri" w:hAnsi="Calibri" w:cs="Calibri"/>
        </w:rPr>
        <w:t xml:space="preserve"> </w:t>
      </w:r>
      <w:r w:rsidR="00BF2713">
        <w:rPr>
          <w:rFonts w:ascii="Calibri" w:hAnsi="Calibri" w:cs="Calibri"/>
        </w:rPr>
        <w:t>The third party will record the date and time that written reports are received and will determine if the report meets the timeframes established by the MOU. Qualifying</w:t>
      </w:r>
      <w:r w:rsidR="00783DCD">
        <w:rPr>
          <w:rFonts w:ascii="Calibri" w:hAnsi="Calibri" w:cs="Calibri"/>
        </w:rPr>
        <w:t xml:space="preserve"> </w:t>
      </w:r>
      <w:r w:rsidRPr="00DB6FFF">
        <w:rPr>
          <w:rFonts w:ascii="Calibri" w:hAnsi="Calibri" w:cs="Calibri"/>
        </w:rPr>
        <w:t>report</w:t>
      </w:r>
      <w:r w:rsidR="00BF2713">
        <w:rPr>
          <w:rFonts w:ascii="Calibri" w:hAnsi="Calibri" w:cs="Calibri"/>
        </w:rPr>
        <w:t>s</w:t>
      </w:r>
      <w:r w:rsidRPr="00DB6FFF">
        <w:rPr>
          <w:rFonts w:ascii="Calibri" w:hAnsi="Calibri" w:cs="Calibri"/>
        </w:rPr>
        <w:t xml:space="preserve"> </w:t>
      </w:r>
      <w:r w:rsidR="00783DCD">
        <w:rPr>
          <w:rFonts w:ascii="Calibri" w:hAnsi="Calibri" w:cs="Calibri"/>
        </w:rPr>
        <w:t xml:space="preserve">must </w:t>
      </w:r>
      <w:r w:rsidR="00BF2713">
        <w:rPr>
          <w:rFonts w:ascii="Calibri" w:hAnsi="Calibri" w:cs="Calibri"/>
        </w:rPr>
        <w:t xml:space="preserve">also </w:t>
      </w:r>
      <w:r w:rsidR="00783DCD">
        <w:rPr>
          <w:rFonts w:ascii="Calibri" w:hAnsi="Calibri" w:cs="Calibri"/>
        </w:rPr>
        <w:t>meet all other acceptance criteria of</w:t>
      </w:r>
      <w:r w:rsidR="00BF2713">
        <w:rPr>
          <w:rFonts w:ascii="Calibri" w:hAnsi="Calibri" w:cs="Calibri"/>
        </w:rPr>
        <w:t xml:space="preserve"> the MOU and will be evaluated by the third party in the same manner as all other close call reports</w:t>
      </w:r>
      <w:r w:rsidR="00783DCD">
        <w:rPr>
          <w:rFonts w:ascii="Calibri" w:hAnsi="Calibri" w:cs="Calibri"/>
        </w:rPr>
        <w:t>.</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19" w:name="_Toc316336526"/>
      <w:bookmarkStart w:id="120" w:name="_Toc317097330"/>
      <w:bookmarkStart w:id="121" w:name="_Toc317106172"/>
      <w:bookmarkStart w:id="122" w:name="_Toc75579425"/>
      <w:r w:rsidRPr="00DB6FFF">
        <w:rPr>
          <w:rFonts w:ascii="Calibri" w:hAnsi="Calibri" w:cs="Calibri"/>
        </w:rPr>
        <w:t>Confidentiality</w:t>
      </w:r>
      <w:bookmarkEnd w:id="119"/>
      <w:bookmarkEnd w:id="120"/>
      <w:bookmarkEnd w:id="121"/>
    </w:p>
    <w:p w:rsidR="005B7F58" w:rsidRPr="00DB6FFF" w:rsidRDefault="001A28CD" w:rsidP="005B7F58">
      <w:pPr>
        <w:pStyle w:val="BodyText"/>
        <w:rPr>
          <w:rFonts w:ascii="Calibri" w:hAnsi="Calibri" w:cs="Calibri"/>
        </w:rPr>
      </w:pPr>
      <w:r>
        <w:rPr>
          <w:rFonts w:ascii="Calibri" w:hAnsi="Calibri" w:cs="Calibri"/>
        </w:rPr>
        <w:t>T</w:t>
      </w:r>
      <w:r w:rsidR="005B7F58" w:rsidRPr="00DB6FFF">
        <w:rPr>
          <w:rFonts w:ascii="Calibri" w:hAnsi="Calibri" w:cs="Calibri"/>
        </w:rPr>
        <w:t xml:space="preserve">he third party shall act as the owner of the data reported to it by transit agency employees under the </w:t>
      </w:r>
      <w:r w:rsidR="00D078E4">
        <w:rPr>
          <w:rFonts w:ascii="Calibri" w:hAnsi="Calibri" w:cs="Calibri"/>
        </w:rPr>
        <w:t>Cl</w:t>
      </w:r>
      <w:r w:rsidR="007B29CB">
        <w:rPr>
          <w:rFonts w:ascii="Calibri" w:hAnsi="Calibri" w:cs="Calibri"/>
        </w:rPr>
        <w:t xml:space="preserve">ose Call </w:t>
      </w:r>
      <w:r w:rsidR="00F149DF">
        <w:rPr>
          <w:rFonts w:ascii="Calibri" w:hAnsi="Calibri" w:cs="Calibri"/>
        </w:rPr>
        <w:t>Pilot</w:t>
      </w:r>
      <w:r w:rsidR="005B7F58" w:rsidRPr="00DB6FFF">
        <w:rPr>
          <w:rFonts w:ascii="Calibri" w:hAnsi="Calibri" w:cs="Calibri"/>
        </w:rPr>
        <w:t xml:space="preserve"> Project, and protect the confidentiality of this information through its own governance.</w:t>
      </w:r>
    </w:p>
    <w:p w:rsidR="005B7F58" w:rsidRPr="00DB6FFF" w:rsidRDefault="005B7F58" w:rsidP="005B7F58">
      <w:pPr>
        <w:pStyle w:val="BodyText"/>
        <w:rPr>
          <w:rFonts w:ascii="Calibri" w:hAnsi="Calibri" w:cs="Calibri"/>
        </w:rPr>
      </w:pPr>
      <w:r w:rsidRPr="00DB6FFF">
        <w:rPr>
          <w:rFonts w:ascii="Calibri" w:hAnsi="Calibri" w:cs="Calibri"/>
        </w:rPr>
        <w:t>After the third party has determined that all relevant data from a close call event has been collected, the close call report should be de-identified so that the employee’s identity or anyone mentioned in the report can no longer be determined.</w:t>
      </w:r>
    </w:p>
    <w:p w:rsidR="005B7F58" w:rsidRPr="00DB6FFF" w:rsidRDefault="005B7F58" w:rsidP="005B7F58">
      <w:pPr>
        <w:pStyle w:val="BodyText"/>
        <w:rPr>
          <w:rFonts w:ascii="Calibri" w:hAnsi="Calibri" w:cs="Calibri"/>
        </w:rPr>
      </w:pPr>
      <w:r w:rsidRPr="00DB6FFF">
        <w:rPr>
          <w:rFonts w:ascii="Calibri" w:hAnsi="Calibri" w:cs="Calibri"/>
        </w:rPr>
        <w:lastRenderedPageBreak/>
        <w:t>The third party shall protect the following information from disclosure when provided in a close call report:</w:t>
      </w:r>
    </w:p>
    <w:p w:rsidR="005B7F58" w:rsidRPr="00DB6FFF" w:rsidRDefault="005B7F58" w:rsidP="007310E6">
      <w:pPr>
        <w:pStyle w:val="BodyText"/>
        <w:numPr>
          <w:ilvl w:val="0"/>
          <w:numId w:val="12"/>
        </w:numPr>
        <w:rPr>
          <w:rFonts w:ascii="Calibri" w:hAnsi="Calibri" w:cs="Calibri"/>
        </w:rPr>
      </w:pPr>
      <w:r w:rsidRPr="00DB6FFF">
        <w:rPr>
          <w:rFonts w:ascii="Calibri" w:hAnsi="Calibri" w:cs="Calibri"/>
        </w:rPr>
        <w:t>The employee’s close call report and the content of that report;</w:t>
      </w:r>
    </w:p>
    <w:p w:rsidR="005B7F58" w:rsidRPr="00DB6FFF" w:rsidRDefault="005B7F58" w:rsidP="007310E6">
      <w:pPr>
        <w:pStyle w:val="BodyText"/>
        <w:numPr>
          <w:ilvl w:val="0"/>
          <w:numId w:val="12"/>
        </w:numPr>
        <w:rPr>
          <w:rFonts w:ascii="Calibri" w:hAnsi="Calibri" w:cs="Calibri"/>
        </w:rPr>
      </w:pPr>
      <w:r w:rsidRPr="00DB6FFF">
        <w:rPr>
          <w:rFonts w:ascii="Calibri" w:hAnsi="Calibri" w:cs="Calibri"/>
        </w:rPr>
        <w:t>The name of the employee who submits a close call report;</w:t>
      </w:r>
    </w:p>
    <w:p w:rsidR="005B7F58" w:rsidRPr="00DB6FFF" w:rsidRDefault="005B7F58" w:rsidP="007310E6">
      <w:pPr>
        <w:pStyle w:val="BodyText"/>
        <w:numPr>
          <w:ilvl w:val="0"/>
          <w:numId w:val="12"/>
        </w:numPr>
        <w:rPr>
          <w:rFonts w:ascii="Calibri" w:hAnsi="Calibri" w:cs="Calibri"/>
        </w:rPr>
      </w:pPr>
      <w:r w:rsidRPr="00DB6FFF">
        <w:rPr>
          <w:rFonts w:ascii="Calibri" w:hAnsi="Calibri" w:cs="Calibri"/>
        </w:rPr>
        <w:t>The name of any other employees mentioned in the close call report, regardless of whether or not they are part of the pilot;</w:t>
      </w:r>
    </w:p>
    <w:p w:rsidR="005B7F58" w:rsidRPr="00DB6FFF" w:rsidRDefault="005B7F58" w:rsidP="007310E6">
      <w:pPr>
        <w:pStyle w:val="BodyText"/>
        <w:numPr>
          <w:ilvl w:val="0"/>
          <w:numId w:val="12"/>
        </w:numPr>
        <w:rPr>
          <w:rFonts w:ascii="Calibri" w:hAnsi="Calibri" w:cs="Calibri"/>
        </w:rPr>
      </w:pPr>
      <w:r w:rsidRPr="00DB6FFF">
        <w:rPr>
          <w:rFonts w:ascii="Calibri" w:hAnsi="Calibri" w:cs="Calibri"/>
        </w:rPr>
        <w:t>The name of the RTA involved in the close call report;</w:t>
      </w:r>
    </w:p>
    <w:p w:rsidR="00BF2713" w:rsidRDefault="00BF2713" w:rsidP="00BF2713">
      <w:pPr>
        <w:pStyle w:val="BodyText"/>
        <w:numPr>
          <w:ilvl w:val="0"/>
          <w:numId w:val="12"/>
        </w:numPr>
        <w:adjustRightInd/>
        <w:textAlignment w:val="auto"/>
        <w:rPr>
          <w:rFonts w:ascii="Calibri" w:hAnsi="Calibri" w:cs="Calibri"/>
        </w:rPr>
      </w:pPr>
      <w:r>
        <w:rPr>
          <w:rFonts w:ascii="Calibri" w:hAnsi="Calibri" w:cs="Calibri"/>
        </w:rPr>
        <w:t>Any other information that would make it obvious that only a few, easily identifiable people could have made the close call report; and</w:t>
      </w:r>
    </w:p>
    <w:p w:rsidR="005B7F58" w:rsidRPr="00DB6FFF" w:rsidRDefault="00BF2713" w:rsidP="007310E6">
      <w:pPr>
        <w:pStyle w:val="BodyText"/>
        <w:numPr>
          <w:ilvl w:val="0"/>
          <w:numId w:val="12"/>
        </w:numPr>
        <w:rPr>
          <w:rFonts w:ascii="Calibri" w:hAnsi="Calibri" w:cs="Calibri"/>
        </w:rPr>
      </w:pPr>
      <w:r w:rsidRPr="00DB6FFF" w:rsidDel="00BF2713">
        <w:rPr>
          <w:rFonts w:ascii="Calibri" w:hAnsi="Calibri" w:cs="Calibri"/>
        </w:rPr>
        <w:t xml:space="preserve"> </w:t>
      </w:r>
      <w:r w:rsidR="005B7F58" w:rsidRPr="00DB6FFF">
        <w:rPr>
          <w:rFonts w:ascii="Calibri" w:hAnsi="Calibri" w:cs="Calibri"/>
        </w:rPr>
        <w:t>Evidence and other information gathered during a PRT evaluation of a close call report</w:t>
      </w:r>
      <w:r w:rsidR="00EB01BE">
        <w:rPr>
          <w:rFonts w:ascii="Calibri" w:hAnsi="Calibri" w:cs="Calibri"/>
        </w:rPr>
        <w:t>.</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23" w:name="_Toc316336527"/>
      <w:bookmarkStart w:id="124" w:name="_Toc317097331"/>
      <w:bookmarkStart w:id="125" w:name="_Toc317106173"/>
      <w:r w:rsidRPr="00DB6FFF">
        <w:rPr>
          <w:rFonts w:ascii="Calibri" w:hAnsi="Calibri" w:cs="Calibri"/>
        </w:rPr>
        <w:t xml:space="preserve">Protection from RTA </w:t>
      </w:r>
      <w:bookmarkEnd w:id="122"/>
      <w:r w:rsidR="00625BF8">
        <w:rPr>
          <w:rFonts w:ascii="Calibri" w:hAnsi="Calibri" w:cs="Calibri"/>
        </w:rPr>
        <w:t xml:space="preserve">Discipline </w:t>
      </w:r>
      <w:r w:rsidRPr="00DB6FFF">
        <w:rPr>
          <w:rFonts w:ascii="Calibri" w:hAnsi="Calibri" w:cs="Calibri"/>
        </w:rPr>
        <w:t>and FTA/SSO Enforcement</w:t>
      </w:r>
      <w:bookmarkEnd w:id="123"/>
      <w:bookmarkEnd w:id="124"/>
      <w:bookmarkEnd w:id="125"/>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26" w:name="_Toc75579426"/>
      <w:bookmarkStart w:id="127" w:name="_Toc316336528"/>
      <w:bookmarkStart w:id="128" w:name="_Toc317097332"/>
      <w:bookmarkStart w:id="129" w:name="_Toc317106174"/>
      <w:r w:rsidRPr="00DB6FFF">
        <w:rPr>
          <w:rFonts w:ascii="Calibri" w:hAnsi="Calibri" w:cs="Calibri"/>
        </w:rPr>
        <w:t>Background</w:t>
      </w:r>
      <w:bookmarkEnd w:id="126"/>
      <w:bookmarkEnd w:id="127"/>
      <w:bookmarkEnd w:id="128"/>
      <w:bookmarkEnd w:id="129"/>
    </w:p>
    <w:p w:rsidR="007B29CB" w:rsidRDefault="0036201E" w:rsidP="005B7F58">
      <w:pPr>
        <w:pStyle w:val="BodyText"/>
        <w:rPr>
          <w:rFonts w:ascii="Calibri" w:hAnsi="Calibri" w:cs="Calibri"/>
        </w:rPr>
      </w:pPr>
      <w:bookmarkStart w:id="130" w:name="_Toc75579427"/>
      <w:r>
        <w:rPr>
          <w:rFonts w:ascii="Calibri" w:hAnsi="Calibri" w:cs="Calibri"/>
        </w:rPr>
        <w:t>Since the main purpose of this Close C</w:t>
      </w:r>
      <w:r w:rsidR="005B7F58" w:rsidRPr="00DB6FFF">
        <w:rPr>
          <w:rFonts w:ascii="Calibri" w:hAnsi="Calibri" w:cs="Calibri"/>
        </w:rPr>
        <w:t xml:space="preserve">all </w:t>
      </w:r>
      <w:r>
        <w:rPr>
          <w:rFonts w:ascii="Calibri" w:hAnsi="Calibri" w:cs="Calibri"/>
        </w:rPr>
        <w:t>Safety Reporting S</w:t>
      </w:r>
      <w:r w:rsidR="005B7F58" w:rsidRPr="00DB6FFF">
        <w:rPr>
          <w:rFonts w:ascii="Calibri" w:hAnsi="Calibri" w:cs="Calibri"/>
        </w:rPr>
        <w:t xml:space="preserve">ystem is for the transit agency industry to learn more about the safety risks it faces, a central element is to shield employees from RTA discipline and FTA/SSO enforcement.  </w:t>
      </w:r>
    </w:p>
    <w:p w:rsidR="005B7F58" w:rsidRPr="00DB6FFF" w:rsidRDefault="005B7F58" w:rsidP="005B7F58">
      <w:pPr>
        <w:pStyle w:val="BodyText"/>
        <w:rPr>
          <w:rFonts w:ascii="Calibri" w:hAnsi="Calibri" w:cs="Calibri"/>
        </w:rPr>
      </w:pPr>
      <w:r w:rsidRPr="00DB6FFF">
        <w:rPr>
          <w:rFonts w:ascii="Calibri" w:hAnsi="Calibri" w:cs="Calibri"/>
        </w:rPr>
        <w:t>Shielding people and RTAs from blame creates an environment where employees and managers feel more comfo</w:t>
      </w:r>
      <w:r w:rsidR="00C85F6B">
        <w:rPr>
          <w:rFonts w:ascii="Calibri" w:hAnsi="Calibri" w:cs="Calibri"/>
        </w:rPr>
        <w:t xml:space="preserve">rtable disclosing information. </w:t>
      </w:r>
      <w:r w:rsidRPr="00DB6FFF">
        <w:rPr>
          <w:rFonts w:ascii="Calibri" w:hAnsi="Calibri" w:cs="Calibri"/>
        </w:rPr>
        <w:t xml:space="preserve">Successful close call </w:t>
      </w:r>
      <w:r w:rsidR="0036201E">
        <w:rPr>
          <w:rFonts w:ascii="Calibri" w:hAnsi="Calibri" w:cs="Calibri"/>
        </w:rPr>
        <w:t xml:space="preserve">safety reporting </w:t>
      </w:r>
      <w:r w:rsidRPr="00DB6FFF">
        <w:rPr>
          <w:rFonts w:ascii="Calibri" w:hAnsi="Calibri" w:cs="Calibri"/>
        </w:rPr>
        <w:t xml:space="preserve">systems protect the identity of the person disclosing information, and use the information for learning about system problems and coaching employees. Reporting unsafe conditions and actions </w:t>
      </w:r>
      <w:r w:rsidR="00F16EFC">
        <w:rPr>
          <w:rFonts w:ascii="Calibri" w:hAnsi="Calibri" w:cs="Calibri"/>
        </w:rPr>
        <w:t>are</w:t>
      </w:r>
      <w:r w:rsidR="00F16EFC" w:rsidRPr="00DB6FFF">
        <w:rPr>
          <w:rFonts w:ascii="Calibri" w:hAnsi="Calibri" w:cs="Calibri"/>
        </w:rPr>
        <w:t xml:space="preserve"> </w:t>
      </w:r>
      <w:r w:rsidRPr="00DB6FFF">
        <w:rPr>
          <w:rFonts w:ascii="Calibri" w:hAnsi="Calibri" w:cs="Calibri"/>
        </w:rPr>
        <w:t xml:space="preserve">fostered in an environment where the organization wants to learn why the system failed and focus on improving </w:t>
      </w:r>
      <w:r w:rsidR="00F16EFC">
        <w:rPr>
          <w:rFonts w:ascii="Calibri" w:hAnsi="Calibri" w:cs="Calibri"/>
        </w:rPr>
        <w:t>it</w:t>
      </w:r>
      <w:r w:rsidRPr="00DB6FFF">
        <w:rPr>
          <w:rFonts w:ascii="Calibri" w:hAnsi="Calibri" w:cs="Calibri"/>
        </w:rPr>
        <w:t xml:space="preserve">. </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31" w:name="_Toc316336529"/>
      <w:bookmarkStart w:id="132" w:name="_Toc317097333"/>
      <w:bookmarkStart w:id="133" w:name="_Toc317106175"/>
      <w:r w:rsidRPr="00DB6FFF">
        <w:rPr>
          <w:rFonts w:ascii="Calibri" w:hAnsi="Calibri" w:cs="Calibri"/>
        </w:rPr>
        <w:t xml:space="preserve">Conditions that protect a reporting employee </w:t>
      </w:r>
      <w:r w:rsidR="00885A69">
        <w:rPr>
          <w:rFonts w:ascii="Calibri" w:hAnsi="Calibri" w:cs="Calibri"/>
        </w:rPr>
        <w:t xml:space="preserve">or RTA </w:t>
      </w:r>
      <w:r w:rsidRPr="00DB6FFF">
        <w:rPr>
          <w:rFonts w:ascii="Calibri" w:hAnsi="Calibri" w:cs="Calibri"/>
        </w:rPr>
        <w:t xml:space="preserve">from </w:t>
      </w:r>
      <w:bookmarkEnd w:id="130"/>
      <w:r w:rsidRPr="00DB6FFF">
        <w:rPr>
          <w:rFonts w:ascii="Calibri" w:hAnsi="Calibri" w:cs="Calibri"/>
        </w:rPr>
        <w:t>discipline</w:t>
      </w:r>
      <w:r w:rsidR="00885A69">
        <w:rPr>
          <w:rFonts w:ascii="Calibri" w:hAnsi="Calibri" w:cs="Calibri"/>
        </w:rPr>
        <w:t xml:space="preserve"> or enforcement action</w:t>
      </w:r>
      <w:bookmarkEnd w:id="131"/>
      <w:bookmarkEnd w:id="132"/>
      <w:bookmarkEnd w:id="133"/>
    </w:p>
    <w:p w:rsidR="005B7F58" w:rsidRPr="00DB6FFF" w:rsidRDefault="005B7F58" w:rsidP="005B7F58">
      <w:pPr>
        <w:pStyle w:val="BodyText"/>
        <w:rPr>
          <w:rFonts w:ascii="Calibri" w:hAnsi="Calibri" w:cs="Calibri"/>
          <w:szCs w:val="24"/>
        </w:rPr>
      </w:pPr>
      <w:r w:rsidRPr="00DB6FFF">
        <w:rPr>
          <w:rFonts w:ascii="Calibri" w:hAnsi="Calibri" w:cs="Calibri"/>
          <w:szCs w:val="24"/>
        </w:rPr>
        <w:t xml:space="preserve">Except as provided below and in Section 9.3, RTA employees </w:t>
      </w:r>
      <w:r w:rsidRPr="00DB6FFF">
        <w:rPr>
          <w:rFonts w:ascii="Calibri" w:hAnsi="Calibri" w:cs="Calibri"/>
        </w:rPr>
        <w:t>included in</w:t>
      </w:r>
      <w:r w:rsidRPr="00DB6FFF">
        <w:rPr>
          <w:rFonts w:ascii="Calibri" w:hAnsi="Calibri" w:cs="Calibri"/>
          <w:szCs w:val="24"/>
        </w:rPr>
        <w:t xml:space="preserve"> an implementing MOU, who report close calls in accordance with section 7, receive protection from discipline by their employing RTA</w:t>
      </w:r>
      <w:r w:rsidR="00885A69">
        <w:rPr>
          <w:rFonts w:ascii="Calibri" w:hAnsi="Calibri" w:cs="Calibri"/>
          <w:szCs w:val="24"/>
        </w:rPr>
        <w:t>. RTA p</w:t>
      </w:r>
      <w:r w:rsidRPr="00DB6FFF">
        <w:rPr>
          <w:rFonts w:ascii="Calibri" w:hAnsi="Calibri" w:cs="Calibri"/>
          <w:szCs w:val="24"/>
        </w:rPr>
        <w:t xml:space="preserve">rotection from </w:t>
      </w:r>
      <w:r w:rsidR="00C85F6B">
        <w:rPr>
          <w:rFonts w:ascii="Calibri" w:hAnsi="Calibri" w:cs="Calibri"/>
          <w:szCs w:val="24"/>
        </w:rPr>
        <w:t xml:space="preserve">FTA/SSO </w:t>
      </w:r>
      <w:r w:rsidR="00885A69">
        <w:rPr>
          <w:rFonts w:ascii="Calibri" w:hAnsi="Calibri" w:cs="Calibri"/>
          <w:szCs w:val="24"/>
        </w:rPr>
        <w:t>enforcement action</w:t>
      </w:r>
      <w:r w:rsidR="00885A69" w:rsidRPr="00DB6FFF">
        <w:rPr>
          <w:rFonts w:ascii="Calibri" w:hAnsi="Calibri" w:cs="Calibri"/>
          <w:szCs w:val="24"/>
        </w:rPr>
        <w:t xml:space="preserve"> requires</w:t>
      </w:r>
      <w:r w:rsidRPr="00DB6FFF">
        <w:rPr>
          <w:rFonts w:ascii="Calibri" w:hAnsi="Calibri" w:cs="Calibri"/>
          <w:szCs w:val="24"/>
        </w:rPr>
        <w:t xml:space="preserve"> that the same conditions apply:  </w:t>
      </w:r>
    </w:p>
    <w:p w:rsidR="005B7F58" w:rsidRPr="00DB6FFF" w:rsidRDefault="005B7F58" w:rsidP="007310E6">
      <w:pPr>
        <w:pStyle w:val="BodyText"/>
        <w:numPr>
          <w:ilvl w:val="0"/>
          <w:numId w:val="20"/>
        </w:numPr>
        <w:rPr>
          <w:rFonts w:ascii="Calibri" w:hAnsi="Calibri" w:cs="Calibri"/>
        </w:rPr>
      </w:pPr>
      <w:r w:rsidRPr="00DB6FFF">
        <w:rPr>
          <w:rFonts w:ascii="Calibri" w:hAnsi="Calibri" w:cs="Calibri"/>
        </w:rPr>
        <w:t xml:space="preserve">The employee's action or lack of action was not intended to cause damage to the RTA’s operations, equipment, or personnel; and </w:t>
      </w:r>
    </w:p>
    <w:p w:rsidR="005B7F58" w:rsidRPr="00DB6FFF" w:rsidRDefault="005B7F58" w:rsidP="007310E6">
      <w:pPr>
        <w:pStyle w:val="BodyText"/>
        <w:numPr>
          <w:ilvl w:val="0"/>
          <w:numId w:val="20"/>
        </w:numPr>
        <w:rPr>
          <w:rFonts w:ascii="Calibri" w:hAnsi="Calibri" w:cs="Calibri"/>
        </w:rPr>
      </w:pPr>
      <w:r w:rsidRPr="00DB6FFF">
        <w:rPr>
          <w:rFonts w:ascii="Calibri" w:hAnsi="Calibri" w:cs="Calibri"/>
        </w:rPr>
        <w:t>The employee reports the unsafe condition within the time limits set forth in section 7.3, and the report is accepted as provided in section 7.1.</w:t>
      </w:r>
    </w:p>
    <w:p w:rsidR="005B7F58" w:rsidRPr="00DB6FFF" w:rsidRDefault="005B7F58" w:rsidP="005B7F58">
      <w:pPr>
        <w:pStyle w:val="BodyText"/>
        <w:rPr>
          <w:rFonts w:ascii="Calibri" w:hAnsi="Calibri" w:cs="Calibri"/>
        </w:rPr>
      </w:pPr>
      <w:r w:rsidRPr="00DB6FFF">
        <w:rPr>
          <w:rFonts w:ascii="Calibri" w:hAnsi="Calibri" w:cs="Calibri"/>
        </w:rPr>
        <w:lastRenderedPageBreak/>
        <w:t>Employees that file an accepted close call report are protected from discipline by their employing RTA</w:t>
      </w:r>
      <w:r w:rsidR="00885A69">
        <w:rPr>
          <w:rFonts w:ascii="Calibri" w:hAnsi="Calibri" w:cs="Calibri"/>
        </w:rPr>
        <w:t>,</w:t>
      </w:r>
      <w:r w:rsidR="002965A2">
        <w:rPr>
          <w:rFonts w:ascii="Calibri" w:hAnsi="Calibri" w:cs="Calibri"/>
        </w:rPr>
        <w:t xml:space="preserve"> and</w:t>
      </w:r>
      <w:r w:rsidR="00885A69">
        <w:rPr>
          <w:rFonts w:ascii="Calibri" w:hAnsi="Calibri" w:cs="Calibri"/>
        </w:rPr>
        <w:t xml:space="preserve"> RTAs are protected from</w:t>
      </w:r>
      <w:r w:rsidR="002965A2">
        <w:rPr>
          <w:rFonts w:ascii="Calibri" w:hAnsi="Calibri" w:cs="Calibri"/>
        </w:rPr>
        <w:t xml:space="preserve"> </w:t>
      </w:r>
      <w:r w:rsidR="00885A69">
        <w:rPr>
          <w:rFonts w:ascii="Calibri" w:hAnsi="Calibri" w:cs="Calibri"/>
        </w:rPr>
        <w:t>FTA/</w:t>
      </w:r>
      <w:r w:rsidR="008A3233">
        <w:rPr>
          <w:rFonts w:ascii="Calibri" w:hAnsi="Calibri" w:cs="Calibri"/>
        </w:rPr>
        <w:t>SSO</w:t>
      </w:r>
      <w:r w:rsidR="002965A2">
        <w:rPr>
          <w:rFonts w:ascii="Calibri" w:hAnsi="Calibri" w:cs="Calibri"/>
        </w:rPr>
        <w:t xml:space="preserve"> </w:t>
      </w:r>
      <w:r w:rsidR="00885A69">
        <w:rPr>
          <w:rFonts w:ascii="Calibri" w:hAnsi="Calibri" w:cs="Calibri"/>
        </w:rPr>
        <w:t xml:space="preserve">enforcement action, </w:t>
      </w:r>
      <w:r w:rsidRPr="00DB6FFF">
        <w:rPr>
          <w:rFonts w:ascii="Calibri" w:hAnsi="Calibri" w:cs="Calibri"/>
        </w:rPr>
        <w:t xml:space="preserve">arising from the </w:t>
      </w:r>
      <w:r w:rsidRPr="00DB6FFF">
        <w:rPr>
          <w:rFonts w:ascii="Calibri" w:hAnsi="Calibri" w:cs="Calibri"/>
          <w:b/>
          <w:bCs/>
        </w:rPr>
        <w:t>retrospective</w:t>
      </w:r>
      <w:r w:rsidRPr="00DB6FFF">
        <w:rPr>
          <w:rFonts w:ascii="Calibri" w:hAnsi="Calibri" w:cs="Calibri"/>
        </w:rPr>
        <w:t xml:space="preserve"> discovery of events involving violations of operating practices</w:t>
      </w:r>
      <w:r w:rsidR="00C85F6B">
        <w:rPr>
          <w:rFonts w:ascii="Calibri" w:hAnsi="Calibri" w:cs="Calibri"/>
        </w:rPr>
        <w:t xml:space="preserve"> involving the event reported. </w:t>
      </w:r>
      <w:r w:rsidRPr="00DB6FFF">
        <w:rPr>
          <w:rFonts w:ascii="Calibri" w:hAnsi="Calibri" w:cs="Calibri"/>
        </w:rPr>
        <w:t xml:space="preserve">This includes the </w:t>
      </w:r>
      <w:r w:rsidRPr="00DB6FFF">
        <w:rPr>
          <w:rFonts w:ascii="Calibri" w:hAnsi="Calibri" w:cs="Calibri"/>
          <w:b/>
          <w:bCs/>
        </w:rPr>
        <w:t>retrospective</w:t>
      </w:r>
      <w:r w:rsidRPr="00DB6FFF">
        <w:rPr>
          <w:rFonts w:ascii="Calibri" w:hAnsi="Calibri" w:cs="Calibri"/>
        </w:rPr>
        <w:t xml:space="preserve"> (as opposed to real time) use or review of event recorder data.</w:t>
      </w:r>
      <w:r w:rsidRPr="00DB6FFF">
        <w:rPr>
          <w:rStyle w:val="FootnoteReference"/>
          <w:rFonts w:ascii="Calibri" w:hAnsi="Calibri" w:cs="Calibri"/>
        </w:rPr>
        <w:footnoteReference w:id="7"/>
      </w:r>
      <w:r w:rsidRPr="00DB6FFF">
        <w:rPr>
          <w:rFonts w:ascii="Calibri" w:hAnsi="Calibri" w:cs="Calibri"/>
        </w:rPr>
        <w:t xml:space="preserve">  </w:t>
      </w:r>
    </w:p>
    <w:p w:rsidR="005B7F58" w:rsidRPr="00DB6FFF" w:rsidRDefault="005B7F58" w:rsidP="005B7F58">
      <w:pPr>
        <w:pStyle w:val="BodyText"/>
        <w:rPr>
          <w:rFonts w:ascii="Calibri" w:hAnsi="Calibri" w:cs="Calibri"/>
        </w:rPr>
      </w:pPr>
      <w:r w:rsidRPr="00DB6FFF">
        <w:rPr>
          <w:rFonts w:ascii="Calibri" w:hAnsi="Calibri" w:cs="Calibri"/>
        </w:rPr>
        <w:t>RTAs</w:t>
      </w:r>
      <w:r w:rsidR="00885A69">
        <w:rPr>
          <w:rFonts w:ascii="Calibri" w:hAnsi="Calibri" w:cs="Calibri"/>
        </w:rPr>
        <w:t xml:space="preserve"> </w:t>
      </w:r>
      <w:r w:rsidRPr="00DB6FFF">
        <w:rPr>
          <w:rFonts w:ascii="Calibri" w:hAnsi="Calibri" w:cs="Calibri"/>
        </w:rPr>
        <w:t>and the FTA</w:t>
      </w:r>
      <w:r w:rsidR="00885A69">
        <w:rPr>
          <w:rFonts w:ascii="Calibri" w:hAnsi="Calibri" w:cs="Calibri"/>
        </w:rPr>
        <w:t>/SSO</w:t>
      </w:r>
      <w:r w:rsidRPr="00DB6FFF">
        <w:rPr>
          <w:rFonts w:ascii="Calibri" w:hAnsi="Calibri" w:cs="Calibri"/>
        </w:rPr>
        <w:t xml:space="preserve"> are prohibited from using any information contained in an accepted close call report to pursue any disciplinary or enforcement action.</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34" w:name="_Toc316336530"/>
      <w:bookmarkStart w:id="135" w:name="_Toc317097334"/>
      <w:bookmarkStart w:id="136" w:name="_Toc317106176"/>
      <w:r w:rsidRPr="00DB6FFF">
        <w:rPr>
          <w:rFonts w:ascii="Calibri" w:hAnsi="Calibri" w:cs="Calibri"/>
        </w:rPr>
        <w:t xml:space="preserve">Conditions when a reporting employee is not protected from RTA discipline and </w:t>
      </w:r>
      <w:r w:rsidR="004C3210">
        <w:rPr>
          <w:rFonts w:ascii="Calibri" w:hAnsi="Calibri" w:cs="Calibri"/>
        </w:rPr>
        <w:t>the RTA is not protected from</w:t>
      </w:r>
      <w:r w:rsidRPr="00DB6FFF">
        <w:rPr>
          <w:rFonts w:ascii="Calibri" w:hAnsi="Calibri" w:cs="Calibri"/>
        </w:rPr>
        <w:t xml:space="preserve"> FTA</w:t>
      </w:r>
      <w:r w:rsidR="005A731B">
        <w:rPr>
          <w:rFonts w:ascii="Calibri" w:hAnsi="Calibri" w:cs="Calibri"/>
        </w:rPr>
        <w:t>/SSO</w:t>
      </w:r>
      <w:r w:rsidRPr="00DB6FFF">
        <w:rPr>
          <w:rFonts w:ascii="Calibri" w:hAnsi="Calibri" w:cs="Calibri"/>
        </w:rPr>
        <w:t xml:space="preserve"> enforcement</w:t>
      </w:r>
      <w:bookmarkEnd w:id="134"/>
      <w:bookmarkEnd w:id="135"/>
      <w:bookmarkEnd w:id="136"/>
    </w:p>
    <w:p w:rsidR="005B7F58" w:rsidRPr="00DB6FFF" w:rsidRDefault="005A731B" w:rsidP="005B7F58">
      <w:pPr>
        <w:pStyle w:val="BodyText"/>
        <w:keepNext/>
        <w:keepLines/>
        <w:rPr>
          <w:rFonts w:ascii="Calibri" w:hAnsi="Calibri" w:cs="Calibri"/>
        </w:rPr>
      </w:pPr>
      <w:r>
        <w:rPr>
          <w:rFonts w:ascii="Calibri" w:hAnsi="Calibri" w:cs="Calibri"/>
        </w:rPr>
        <w:t xml:space="preserve">Events that </w:t>
      </w:r>
      <w:r w:rsidRPr="005A731B">
        <w:rPr>
          <w:rFonts w:ascii="Calibri" w:hAnsi="Calibri" w:cs="Calibri"/>
        </w:rPr>
        <w:t xml:space="preserve">do not qualify for </w:t>
      </w:r>
      <w:r w:rsidR="00AC04D2">
        <w:rPr>
          <w:rFonts w:ascii="Calibri" w:hAnsi="Calibri" w:cs="Calibri"/>
        </w:rPr>
        <w:t>protection from RTA</w:t>
      </w:r>
      <w:r>
        <w:rPr>
          <w:rFonts w:ascii="Calibri" w:hAnsi="Calibri" w:cs="Calibri"/>
        </w:rPr>
        <w:t xml:space="preserve"> discipline or FTA/SSO enforcement action under the </w:t>
      </w:r>
      <w:r w:rsidR="008D7209">
        <w:rPr>
          <w:rFonts w:ascii="Calibri" w:hAnsi="Calibri" w:cs="Calibri"/>
        </w:rPr>
        <w:t>close call</w:t>
      </w:r>
      <w:r w:rsidRPr="005A731B">
        <w:rPr>
          <w:rFonts w:ascii="Calibri" w:hAnsi="Calibri" w:cs="Calibri"/>
        </w:rPr>
        <w:t xml:space="preserve"> </w:t>
      </w:r>
      <w:r w:rsidR="00046A8D">
        <w:rPr>
          <w:rFonts w:ascii="Calibri" w:hAnsi="Calibri" w:cs="Calibri"/>
        </w:rPr>
        <w:t xml:space="preserve">safety </w:t>
      </w:r>
      <w:r w:rsidRPr="005A731B">
        <w:rPr>
          <w:rFonts w:ascii="Calibri" w:hAnsi="Calibri" w:cs="Calibri"/>
        </w:rPr>
        <w:t xml:space="preserve">reporting </w:t>
      </w:r>
      <w:r>
        <w:rPr>
          <w:rFonts w:ascii="Calibri" w:hAnsi="Calibri" w:cs="Calibri"/>
        </w:rPr>
        <w:t xml:space="preserve">system </w:t>
      </w:r>
      <w:r w:rsidRPr="005A731B">
        <w:rPr>
          <w:rFonts w:ascii="Calibri" w:hAnsi="Calibri" w:cs="Calibri"/>
        </w:rPr>
        <w:t>must be defined by the stakeho</w:t>
      </w:r>
      <w:r>
        <w:rPr>
          <w:rFonts w:ascii="Calibri" w:hAnsi="Calibri" w:cs="Calibri"/>
        </w:rPr>
        <w:t xml:space="preserve">lders of each individual implementing </w:t>
      </w:r>
      <w:r w:rsidRPr="005A731B">
        <w:rPr>
          <w:rFonts w:ascii="Calibri" w:hAnsi="Calibri" w:cs="Calibri"/>
        </w:rPr>
        <w:t>MOU.</w:t>
      </w:r>
      <w:r>
        <w:rPr>
          <w:rFonts w:ascii="Calibri" w:hAnsi="Calibri" w:cs="Calibri"/>
        </w:rPr>
        <w:t xml:space="preserve"> What follow are examples of events that the implementing MOU signatories are likely to consider excluding:</w:t>
      </w:r>
    </w:p>
    <w:p w:rsidR="005B7F58" w:rsidRPr="00DB6FFF" w:rsidRDefault="005B7F58" w:rsidP="007310E6">
      <w:pPr>
        <w:pStyle w:val="BodyText"/>
        <w:numPr>
          <w:ilvl w:val="0"/>
          <w:numId w:val="13"/>
        </w:numPr>
        <w:rPr>
          <w:rFonts w:ascii="Calibri" w:hAnsi="Calibri" w:cs="Calibri"/>
        </w:rPr>
      </w:pPr>
      <w:r w:rsidRPr="00DB6FFF">
        <w:rPr>
          <w:rFonts w:ascii="Calibri" w:hAnsi="Calibri" w:cs="Calibri"/>
        </w:rPr>
        <w:t xml:space="preserve">The employee's action or lack of action was </w:t>
      </w:r>
      <w:r w:rsidRPr="00DB6FFF">
        <w:rPr>
          <w:rFonts w:ascii="Calibri" w:hAnsi="Calibri" w:cs="Calibri"/>
          <w:b/>
          <w:bCs/>
        </w:rPr>
        <w:t>intended</w:t>
      </w:r>
      <w:r w:rsidRPr="00DB6FFF">
        <w:rPr>
          <w:rFonts w:ascii="Calibri" w:hAnsi="Calibri" w:cs="Calibri"/>
        </w:rPr>
        <w:t xml:space="preserve"> to damage the RTA’s operations or equipment, or injure other employees, or the employee’s action or lack of action purposely places others in danger (i.e., sabotage)</w:t>
      </w:r>
      <w:r w:rsidR="00F16EFC">
        <w:rPr>
          <w:rFonts w:ascii="Calibri" w:hAnsi="Calibri" w:cs="Calibri"/>
        </w:rPr>
        <w:t>;</w:t>
      </w:r>
    </w:p>
    <w:p w:rsidR="005B7F58" w:rsidRPr="00DB6FFF" w:rsidRDefault="005B7F58" w:rsidP="007310E6">
      <w:pPr>
        <w:pStyle w:val="BodyText"/>
        <w:numPr>
          <w:ilvl w:val="0"/>
          <w:numId w:val="13"/>
        </w:numPr>
        <w:rPr>
          <w:rFonts w:ascii="Calibri" w:hAnsi="Calibri" w:cs="Calibri"/>
        </w:rPr>
      </w:pPr>
      <w:r w:rsidRPr="00DB6FFF">
        <w:rPr>
          <w:rFonts w:ascii="Calibri" w:hAnsi="Calibri" w:cs="Calibri"/>
        </w:rPr>
        <w:t>The employee's action or lack of action involved a criminal offense;</w:t>
      </w:r>
    </w:p>
    <w:p w:rsidR="005B7F58" w:rsidRPr="00DB6FFF" w:rsidRDefault="005B7F58" w:rsidP="007310E6">
      <w:pPr>
        <w:pStyle w:val="BodyText"/>
        <w:numPr>
          <w:ilvl w:val="0"/>
          <w:numId w:val="13"/>
        </w:numPr>
        <w:rPr>
          <w:rFonts w:ascii="Calibri" w:hAnsi="Calibri" w:cs="Calibri"/>
        </w:rPr>
      </w:pPr>
      <w:r w:rsidRPr="00DB6FFF">
        <w:rPr>
          <w:rFonts w:ascii="Calibri" w:hAnsi="Calibri" w:cs="Calibri"/>
        </w:rPr>
        <w:t>The employee’s behavior involved substance abuse or inappropriate use of controlled substances;</w:t>
      </w:r>
    </w:p>
    <w:p w:rsidR="005B7F58" w:rsidRPr="00DB6FFF" w:rsidRDefault="005B7F58" w:rsidP="007310E6">
      <w:pPr>
        <w:pStyle w:val="BodyText"/>
        <w:numPr>
          <w:ilvl w:val="0"/>
          <w:numId w:val="13"/>
        </w:numPr>
        <w:rPr>
          <w:rFonts w:ascii="Calibri" w:hAnsi="Calibri" w:cs="Calibri"/>
        </w:rPr>
      </w:pPr>
      <w:r w:rsidRPr="00DB6FFF">
        <w:rPr>
          <w:rFonts w:ascii="Calibri" w:hAnsi="Calibri" w:cs="Calibri"/>
        </w:rPr>
        <w:t>The close call report contains falsified information;</w:t>
      </w:r>
    </w:p>
    <w:p w:rsidR="005B7F58" w:rsidRPr="00DB6FFF" w:rsidRDefault="005B7F58" w:rsidP="007310E6">
      <w:pPr>
        <w:pStyle w:val="BodyText"/>
        <w:numPr>
          <w:ilvl w:val="0"/>
          <w:numId w:val="13"/>
        </w:numPr>
        <w:rPr>
          <w:rFonts w:ascii="Calibri" w:hAnsi="Calibri" w:cs="Calibri"/>
          <w:szCs w:val="24"/>
        </w:rPr>
      </w:pPr>
      <w:r w:rsidRPr="00DB6FFF">
        <w:rPr>
          <w:rFonts w:ascii="Calibri" w:hAnsi="Calibri" w:cs="Calibri"/>
          <w:szCs w:val="24"/>
        </w:rPr>
        <w:t>The event resulted in a transit agency accident/incident that qualifies as reportable</w:t>
      </w:r>
      <w:r w:rsidR="005A255F">
        <w:rPr>
          <w:rFonts w:ascii="Calibri" w:hAnsi="Calibri" w:cs="Calibri"/>
          <w:szCs w:val="24"/>
        </w:rPr>
        <w:t xml:space="preserve"> under State o</w:t>
      </w:r>
      <w:r w:rsidR="003A1626">
        <w:rPr>
          <w:rFonts w:ascii="Calibri" w:hAnsi="Calibri" w:cs="Calibri"/>
          <w:szCs w:val="24"/>
        </w:rPr>
        <w:t>r</w:t>
      </w:r>
      <w:r w:rsidR="00422843">
        <w:rPr>
          <w:rFonts w:ascii="Calibri" w:hAnsi="Calibri" w:cs="Calibri"/>
          <w:szCs w:val="24"/>
        </w:rPr>
        <w:t xml:space="preserve"> </w:t>
      </w:r>
      <w:r w:rsidR="005A255F">
        <w:rPr>
          <w:rFonts w:ascii="Calibri" w:hAnsi="Calibri" w:cs="Calibri"/>
          <w:szCs w:val="24"/>
        </w:rPr>
        <w:t>Federal law</w:t>
      </w:r>
      <w:r w:rsidRPr="00DB6FFF">
        <w:rPr>
          <w:rFonts w:ascii="Calibri" w:hAnsi="Calibri" w:cs="Calibri"/>
          <w:szCs w:val="24"/>
        </w:rPr>
        <w:t>;</w:t>
      </w:r>
    </w:p>
    <w:p w:rsidR="005B7F58" w:rsidRPr="00DB6FFF" w:rsidRDefault="005B7F58" w:rsidP="007310E6">
      <w:pPr>
        <w:pStyle w:val="BodyText"/>
        <w:numPr>
          <w:ilvl w:val="0"/>
          <w:numId w:val="13"/>
        </w:numPr>
        <w:rPr>
          <w:rFonts w:ascii="Calibri" w:hAnsi="Calibri" w:cs="Calibri"/>
        </w:rPr>
      </w:pPr>
      <w:r w:rsidRPr="00DB6FFF">
        <w:rPr>
          <w:rFonts w:ascii="Calibri" w:hAnsi="Calibri" w:cs="Calibri"/>
        </w:rPr>
        <w:t xml:space="preserve"> The event resulted in an identifiable release of a hazardous material; or</w:t>
      </w:r>
    </w:p>
    <w:p w:rsidR="005B7F58" w:rsidRPr="00DB6FFF" w:rsidRDefault="005B7F58" w:rsidP="007310E6">
      <w:pPr>
        <w:pStyle w:val="BodyText"/>
        <w:numPr>
          <w:ilvl w:val="0"/>
          <w:numId w:val="13"/>
        </w:numPr>
        <w:rPr>
          <w:rFonts w:ascii="Calibri" w:hAnsi="Calibri" w:cs="Calibri"/>
        </w:rPr>
      </w:pPr>
      <w:r w:rsidRPr="00DB6FFF">
        <w:rPr>
          <w:rFonts w:ascii="Calibri" w:hAnsi="Calibri" w:cs="Calibri"/>
        </w:rPr>
        <w:t>The event was observed in real time and reported to the RTA (such as a dispatcher or operator observing a signal violation) or was observed as part of Operating Practices Testing.</w:t>
      </w:r>
      <w:r w:rsidRPr="00DB6FFF">
        <w:rPr>
          <w:rFonts w:ascii="Calibri" w:hAnsi="Calibri" w:cs="Calibri"/>
          <w:vertAlign w:val="superscript"/>
        </w:rPr>
        <w:footnoteReference w:id="8"/>
      </w:r>
    </w:p>
    <w:p w:rsidR="005B7F58" w:rsidRPr="00DB6FFF" w:rsidRDefault="005B7F58" w:rsidP="00C85F6B">
      <w:pPr>
        <w:pStyle w:val="BodyText"/>
        <w:rPr>
          <w:rFonts w:ascii="Calibri" w:hAnsi="Calibri" w:cs="Calibri"/>
        </w:rPr>
      </w:pPr>
      <w:r w:rsidRPr="00DB6FFF">
        <w:rPr>
          <w:rFonts w:ascii="Calibri" w:hAnsi="Calibri" w:cs="Calibri"/>
        </w:rPr>
        <w:t>Operating Practices Testing (e.g., efficiency testing, train control signal testing) are generally real</w:t>
      </w:r>
      <w:r w:rsidR="00F16EFC">
        <w:rPr>
          <w:rFonts w:ascii="Calibri" w:hAnsi="Calibri" w:cs="Calibri"/>
        </w:rPr>
        <w:t>-</w:t>
      </w:r>
      <w:r w:rsidRPr="00DB6FFF">
        <w:rPr>
          <w:rFonts w:ascii="Calibri" w:hAnsi="Calibri" w:cs="Calibri"/>
        </w:rPr>
        <w:t xml:space="preserve">time observations and do not qualify for exemption. Similarly, an employee is not exempt from RTA discipline for a violation that the RTA or FTA identifies contemporaneously (e.g., a block goes red and the dispatcher notices it before the train backs off the circuit) </w:t>
      </w:r>
      <w:r w:rsidRPr="00607818">
        <w:rPr>
          <w:rFonts w:ascii="Calibri" w:hAnsi="Calibri" w:cs="Calibri"/>
        </w:rPr>
        <w:t>before the employee files a close call report</w:t>
      </w:r>
      <w:r w:rsidRPr="00DB6FFF">
        <w:rPr>
          <w:rFonts w:ascii="Calibri" w:hAnsi="Calibri" w:cs="Calibri"/>
        </w:rPr>
        <w:t>; in such situations, a</w:t>
      </w:r>
      <w:r w:rsidR="00F16EFC">
        <w:rPr>
          <w:rFonts w:ascii="Calibri" w:hAnsi="Calibri" w:cs="Calibri"/>
        </w:rPr>
        <w:t>n</w:t>
      </w:r>
      <w:r w:rsidRPr="00DB6FFF">
        <w:rPr>
          <w:rFonts w:ascii="Calibri" w:hAnsi="Calibri" w:cs="Calibri"/>
        </w:rPr>
        <w:t xml:space="preserve"> RTA or FTA may use event recorder </w:t>
      </w:r>
      <w:r w:rsidRPr="00DB6FFF">
        <w:rPr>
          <w:rFonts w:ascii="Calibri" w:hAnsi="Calibri" w:cs="Calibri"/>
        </w:rPr>
        <w:lastRenderedPageBreak/>
        <w:t>information to support discipline. For example, a</w:t>
      </w:r>
      <w:r w:rsidR="00F16EFC">
        <w:rPr>
          <w:rFonts w:ascii="Calibri" w:hAnsi="Calibri" w:cs="Calibri"/>
        </w:rPr>
        <w:t xml:space="preserve">n </w:t>
      </w:r>
      <w:r w:rsidRPr="00DB6FFF">
        <w:rPr>
          <w:rFonts w:ascii="Calibri" w:hAnsi="Calibri" w:cs="Calibri"/>
        </w:rPr>
        <w:t xml:space="preserve">RTA official who observes a train operate past a signal that requires a stop may use any relevant data recorded by the locomotive’s event recorder in pursuing disciplinary action against the train crew, regardless of whether a member of the crew timely files a close call report.  </w:t>
      </w:r>
    </w:p>
    <w:p w:rsidR="005B7F58" w:rsidRPr="00DB6FFF" w:rsidRDefault="005B7F58" w:rsidP="005B7F58">
      <w:pPr>
        <w:pStyle w:val="BodyText"/>
        <w:rPr>
          <w:rFonts w:ascii="Calibri" w:hAnsi="Calibri" w:cs="Calibri"/>
        </w:rPr>
      </w:pPr>
      <w:r w:rsidRPr="00DB6FFF">
        <w:rPr>
          <w:rFonts w:ascii="Calibri" w:hAnsi="Calibri" w:cs="Calibri"/>
        </w:rPr>
        <w:t>Other than what is stated above, there are no other changes to the RTAs’ disciplinary systems</w:t>
      </w:r>
      <w:r w:rsidR="005A731B">
        <w:rPr>
          <w:rFonts w:ascii="Calibri" w:hAnsi="Calibri" w:cs="Calibri"/>
        </w:rPr>
        <w:t xml:space="preserve"> or FTA/SSO enforcement systems</w:t>
      </w:r>
      <w:r w:rsidRPr="00DB6FFF">
        <w:rPr>
          <w:rFonts w:ascii="Calibri" w:hAnsi="Calibri" w:cs="Calibri"/>
        </w:rPr>
        <w:t>.</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37" w:name="_Toc316336531"/>
      <w:bookmarkStart w:id="138" w:name="_Toc317097335"/>
      <w:bookmarkStart w:id="139" w:name="_Toc317106177"/>
      <w:r w:rsidRPr="00DB6FFF">
        <w:rPr>
          <w:rFonts w:ascii="Calibri" w:hAnsi="Calibri" w:cs="Calibri"/>
        </w:rPr>
        <w:t>Conditions when a participating RTA is and is not protected from FTA/SSO enforcement action</w:t>
      </w:r>
      <w:bookmarkEnd w:id="137"/>
      <w:bookmarkEnd w:id="138"/>
      <w:bookmarkEnd w:id="139"/>
    </w:p>
    <w:p w:rsidR="005B7F58" w:rsidRPr="00DB6FFF" w:rsidRDefault="005A255F" w:rsidP="005B7F58">
      <w:pPr>
        <w:pStyle w:val="BodyText"/>
        <w:rPr>
          <w:rFonts w:ascii="Calibri" w:hAnsi="Calibri" w:cs="Calibri"/>
        </w:rPr>
      </w:pPr>
      <w:r>
        <w:rPr>
          <w:rFonts w:ascii="Calibri" w:hAnsi="Calibri" w:cs="Calibri"/>
        </w:rPr>
        <w:t xml:space="preserve">The </w:t>
      </w:r>
      <w:r w:rsidR="005B7F58" w:rsidRPr="00DB6FFF">
        <w:rPr>
          <w:rFonts w:ascii="Calibri" w:hAnsi="Calibri" w:cs="Calibri"/>
        </w:rPr>
        <w:t xml:space="preserve">FTA </w:t>
      </w:r>
      <w:r>
        <w:rPr>
          <w:rFonts w:ascii="Calibri" w:hAnsi="Calibri" w:cs="Calibri"/>
        </w:rPr>
        <w:t xml:space="preserve">and SSO </w:t>
      </w:r>
      <w:r w:rsidR="005B7F58" w:rsidRPr="00DB6FFF">
        <w:rPr>
          <w:rFonts w:ascii="Calibri" w:hAnsi="Calibri" w:cs="Calibri"/>
        </w:rPr>
        <w:t xml:space="preserve">will also afford protection from </w:t>
      </w:r>
      <w:r>
        <w:rPr>
          <w:rFonts w:ascii="Calibri" w:hAnsi="Calibri" w:cs="Calibri"/>
        </w:rPr>
        <w:t xml:space="preserve">regulatory </w:t>
      </w:r>
      <w:r w:rsidR="005B7F58" w:rsidRPr="00DB6FFF">
        <w:rPr>
          <w:rFonts w:ascii="Calibri" w:hAnsi="Calibri" w:cs="Calibri"/>
        </w:rPr>
        <w:t>enforcement action to a</w:t>
      </w:r>
      <w:r w:rsidR="00F16EFC">
        <w:rPr>
          <w:rFonts w:ascii="Calibri" w:hAnsi="Calibri" w:cs="Calibri"/>
        </w:rPr>
        <w:t>n</w:t>
      </w:r>
      <w:r w:rsidR="005B7F58" w:rsidRPr="00DB6FFF">
        <w:rPr>
          <w:rFonts w:ascii="Calibri" w:hAnsi="Calibri" w:cs="Calibri"/>
        </w:rPr>
        <w:t xml:space="preserve"> RTA covered by an implementing MOU for any incident for which an accepted close call report is filed regarding an employee of the RTA if that employee is protected from RTA discipline pursuant to the terms of this section.  </w:t>
      </w:r>
      <w:bookmarkStart w:id="140" w:name="_Toc75579429"/>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41" w:name="_Toc316336532"/>
      <w:bookmarkStart w:id="142" w:name="_Toc317097336"/>
      <w:bookmarkStart w:id="143" w:name="_Toc317106178"/>
      <w:r w:rsidRPr="00DB6FFF">
        <w:rPr>
          <w:rFonts w:ascii="Calibri" w:hAnsi="Calibri" w:cs="Calibri"/>
        </w:rPr>
        <w:t>Use of Data</w:t>
      </w:r>
      <w:bookmarkEnd w:id="140"/>
      <w:bookmarkEnd w:id="141"/>
      <w:bookmarkEnd w:id="142"/>
      <w:bookmarkEnd w:id="143"/>
    </w:p>
    <w:p w:rsidR="005B7F58" w:rsidRPr="00DB6FFF" w:rsidRDefault="005B7F58" w:rsidP="005B7F58">
      <w:pPr>
        <w:pStyle w:val="BodyText"/>
        <w:rPr>
          <w:rFonts w:ascii="Calibri" w:hAnsi="Calibri" w:cs="Calibri"/>
        </w:rPr>
      </w:pPr>
      <w:r w:rsidRPr="00DB6FFF">
        <w:rPr>
          <w:rFonts w:ascii="Calibri" w:hAnsi="Calibri" w:cs="Calibri"/>
        </w:rPr>
        <w:t xml:space="preserve"> All participants in the Close Call </w:t>
      </w:r>
      <w:r w:rsidR="0036201E">
        <w:rPr>
          <w:rFonts w:ascii="Calibri" w:hAnsi="Calibri" w:cs="Calibri"/>
        </w:rPr>
        <w:t xml:space="preserve">Safety Reporting </w:t>
      </w:r>
      <w:r w:rsidR="00F149DF">
        <w:rPr>
          <w:rFonts w:ascii="Calibri" w:hAnsi="Calibri" w:cs="Calibri"/>
        </w:rPr>
        <w:t>Pilot</w:t>
      </w:r>
      <w:r w:rsidRPr="00DB6FFF">
        <w:rPr>
          <w:rFonts w:ascii="Calibri" w:hAnsi="Calibri" w:cs="Calibri"/>
        </w:rPr>
        <w:t xml:space="preserve"> Project agree to use the information they acquire for positive purposes to improve safety. This could include new or modified training, assessing risk and allocating resources to address those risks, and learning why these reported unsafe events are taking place. The RTAs agree to re</w:t>
      </w:r>
      <w:r w:rsidR="001A28CD">
        <w:rPr>
          <w:rFonts w:ascii="Calibri" w:hAnsi="Calibri" w:cs="Calibri"/>
        </w:rPr>
        <w:t>fr</w:t>
      </w:r>
      <w:r w:rsidRPr="00DB6FFF">
        <w:rPr>
          <w:rFonts w:ascii="Calibri" w:hAnsi="Calibri" w:cs="Calibri"/>
        </w:rPr>
        <w:t xml:space="preserve">ain from using this data for the purpose of discovering who else might be engaged in the same activity, </w:t>
      </w:r>
      <w:r w:rsidRPr="00DB6FFF">
        <w:rPr>
          <w:rFonts w:ascii="Calibri" w:hAnsi="Calibri" w:cs="Calibri"/>
          <w:u w:val="single"/>
        </w:rPr>
        <w:t>and</w:t>
      </w:r>
      <w:r w:rsidRPr="00DB6FFF">
        <w:rPr>
          <w:rFonts w:ascii="Calibri" w:hAnsi="Calibri" w:cs="Calibri"/>
        </w:rPr>
        <w:t xml:space="preserve"> disciplining employees for that behavior. </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44" w:name="_Toc316336533"/>
      <w:bookmarkStart w:id="145" w:name="_Toc317097337"/>
      <w:bookmarkStart w:id="146" w:name="_Toc317106179"/>
      <w:bookmarkStart w:id="147" w:name="_Toc75579430"/>
      <w:r w:rsidRPr="00DB6FFF">
        <w:rPr>
          <w:rFonts w:ascii="Calibri" w:hAnsi="Calibri" w:cs="Calibri"/>
        </w:rPr>
        <w:t>Corrective Actions</w:t>
      </w:r>
      <w:bookmarkEnd w:id="144"/>
      <w:bookmarkEnd w:id="145"/>
      <w:bookmarkEnd w:id="146"/>
    </w:p>
    <w:p w:rsidR="005B7F58" w:rsidRPr="00DB6FFF" w:rsidRDefault="005B7F58" w:rsidP="005B7F58">
      <w:pPr>
        <w:pStyle w:val="BodyText"/>
        <w:rPr>
          <w:rFonts w:ascii="Calibri" w:hAnsi="Calibri" w:cs="Calibri"/>
        </w:rPr>
      </w:pPr>
      <w:r w:rsidRPr="00DB6FFF">
        <w:rPr>
          <w:rFonts w:ascii="Calibri" w:hAnsi="Calibri" w:cs="Calibri"/>
        </w:rPr>
        <w:t>Corrective actions are the actions taken by RTAs in response to the PRT’s reports of emerging trends and new types of safety-critical events.</w:t>
      </w:r>
      <w:r w:rsidRPr="00DB6FFF">
        <w:rPr>
          <w:rStyle w:val="FootnoteReference"/>
          <w:rFonts w:ascii="Calibri" w:hAnsi="Calibri" w:cs="Calibri"/>
        </w:rPr>
        <w:footnoteReference w:id="9"/>
      </w:r>
      <w:r w:rsidRPr="00DB6FFF">
        <w:rPr>
          <w:rFonts w:ascii="Calibri" w:hAnsi="Calibri" w:cs="Calibri"/>
        </w:rPr>
        <w:t xml:space="preserve"> Criteria for corrective action and corrective action reporting are: 1</w:t>
      </w:r>
      <w:r w:rsidR="00F16EFC">
        <w:rPr>
          <w:rFonts w:ascii="Calibri" w:hAnsi="Calibri" w:cs="Calibri"/>
        </w:rPr>
        <w:t>,</w:t>
      </w:r>
      <w:r w:rsidRPr="00DB6FFF">
        <w:rPr>
          <w:rFonts w:ascii="Calibri" w:hAnsi="Calibri" w:cs="Calibri"/>
        </w:rPr>
        <w:t xml:space="preserve"> </w:t>
      </w:r>
      <w:r w:rsidR="00DB6FFF" w:rsidRPr="00DB6FFF">
        <w:rPr>
          <w:rFonts w:ascii="Calibri" w:hAnsi="Calibri" w:cs="Calibri"/>
        </w:rPr>
        <w:t>it</w:t>
      </w:r>
      <w:r w:rsidRPr="00DB6FFF">
        <w:rPr>
          <w:rFonts w:ascii="Calibri" w:hAnsi="Calibri" w:cs="Calibri"/>
        </w:rPr>
        <w:t xml:space="preserve"> is not a burden to communicate; and 2</w:t>
      </w:r>
      <w:r w:rsidR="00F16EFC">
        <w:rPr>
          <w:rFonts w:ascii="Calibri" w:hAnsi="Calibri" w:cs="Calibri"/>
        </w:rPr>
        <w:t>,</w:t>
      </w:r>
      <w:r w:rsidRPr="00DB6FFF">
        <w:rPr>
          <w:rFonts w:ascii="Calibri" w:hAnsi="Calibri" w:cs="Calibri"/>
        </w:rPr>
        <w:t xml:space="preserve"> </w:t>
      </w:r>
      <w:r w:rsidR="00DB6FFF" w:rsidRPr="00DB6FFF">
        <w:rPr>
          <w:rFonts w:ascii="Calibri" w:hAnsi="Calibri" w:cs="Calibri"/>
        </w:rPr>
        <w:t>it</w:t>
      </w:r>
      <w:r w:rsidRPr="00DB6FFF">
        <w:rPr>
          <w:rFonts w:ascii="Calibri" w:hAnsi="Calibri" w:cs="Calibri"/>
        </w:rPr>
        <w:t xml:space="preserve"> is not intrusive to monitor.</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48" w:name="_Toc316336534"/>
      <w:bookmarkStart w:id="149" w:name="_Toc317097338"/>
      <w:bookmarkStart w:id="150" w:name="_Toc317106180"/>
      <w:bookmarkStart w:id="151" w:name="_Toc75579431"/>
      <w:bookmarkEnd w:id="147"/>
      <w:r w:rsidRPr="00DB6FFF">
        <w:rPr>
          <w:rFonts w:ascii="Calibri" w:hAnsi="Calibri" w:cs="Calibri"/>
        </w:rPr>
        <w:t>Stakeholders’ Responsibilities in Support of the MOU</w:t>
      </w:r>
      <w:bookmarkEnd w:id="148"/>
      <w:bookmarkEnd w:id="149"/>
      <w:bookmarkEnd w:id="150"/>
    </w:p>
    <w:p w:rsidR="005B7F58" w:rsidRPr="00C85F6B" w:rsidRDefault="005B7F58" w:rsidP="005B7F58">
      <w:pPr>
        <w:spacing w:after="120"/>
        <w:rPr>
          <w:rFonts w:cs="Calibri"/>
          <w:sz w:val="24"/>
          <w:szCs w:val="24"/>
        </w:rPr>
      </w:pPr>
      <w:r w:rsidRPr="00F8426D">
        <w:rPr>
          <w:rFonts w:cs="Calibri"/>
          <w:sz w:val="24"/>
          <w:szCs w:val="24"/>
        </w:rPr>
        <w:t xml:space="preserve">The </w:t>
      </w:r>
      <w:r w:rsidRPr="00C85F6B">
        <w:rPr>
          <w:rFonts w:cs="Calibri"/>
          <w:sz w:val="24"/>
          <w:szCs w:val="24"/>
        </w:rPr>
        <w:t xml:space="preserve">rights, roles, and responsibilities set forth in this MOU apply only to participants in the Close Call </w:t>
      </w:r>
      <w:r w:rsidR="0036201E" w:rsidRPr="00C85F6B">
        <w:rPr>
          <w:rFonts w:cs="Calibri"/>
          <w:sz w:val="24"/>
          <w:szCs w:val="24"/>
        </w:rPr>
        <w:t xml:space="preserve">Safety Reporting </w:t>
      </w:r>
      <w:r w:rsidR="00F149DF" w:rsidRPr="00C85F6B">
        <w:rPr>
          <w:rFonts w:cs="Calibri"/>
          <w:sz w:val="24"/>
          <w:szCs w:val="24"/>
        </w:rPr>
        <w:t>Pilot</w:t>
      </w:r>
      <w:r w:rsidRPr="00C85F6B">
        <w:rPr>
          <w:rFonts w:cs="Calibri"/>
          <w:sz w:val="24"/>
          <w:szCs w:val="24"/>
        </w:rPr>
        <w:t xml:space="preserve"> Project pursuant to implementing MOUs that have been approved by FTA. If a </w:t>
      </w:r>
      <w:r w:rsidR="00F149DF" w:rsidRPr="00C85F6B">
        <w:rPr>
          <w:rFonts w:cs="Calibri"/>
          <w:sz w:val="24"/>
          <w:szCs w:val="24"/>
        </w:rPr>
        <w:t>pilot</w:t>
      </w:r>
      <w:r w:rsidRPr="00C85F6B">
        <w:rPr>
          <w:rFonts w:cs="Calibri"/>
          <w:sz w:val="24"/>
          <w:szCs w:val="24"/>
        </w:rPr>
        <w:t xml:space="preserve"> project involves a waiver of any FTA rules, the parties shall submit a waiver request.  </w:t>
      </w:r>
    </w:p>
    <w:p w:rsidR="008C794F" w:rsidRPr="00C85F6B" w:rsidRDefault="005B7F58" w:rsidP="005B7F58">
      <w:pPr>
        <w:spacing w:after="120"/>
        <w:rPr>
          <w:rFonts w:cs="Calibri"/>
          <w:sz w:val="24"/>
          <w:szCs w:val="24"/>
        </w:rPr>
      </w:pPr>
      <w:r w:rsidRPr="00C85F6B">
        <w:rPr>
          <w:rFonts w:cs="Calibri"/>
          <w:sz w:val="24"/>
          <w:szCs w:val="24"/>
        </w:rPr>
        <w:lastRenderedPageBreak/>
        <w:t xml:space="preserve">There are five primary stakeholder organizations that will be involved in the </w:t>
      </w:r>
      <w:r w:rsidR="00F149DF" w:rsidRPr="00C85F6B">
        <w:rPr>
          <w:rFonts w:cs="Calibri"/>
          <w:sz w:val="24"/>
          <w:szCs w:val="24"/>
        </w:rPr>
        <w:t>pilot</w:t>
      </w:r>
      <w:r w:rsidRPr="00C85F6B">
        <w:rPr>
          <w:rFonts w:cs="Calibri"/>
          <w:sz w:val="24"/>
          <w:szCs w:val="24"/>
        </w:rPr>
        <w:t xml:space="preserve"> project.  These include: </w:t>
      </w:r>
    </w:p>
    <w:p w:rsidR="008C794F" w:rsidRPr="00C85F6B" w:rsidRDefault="005B7F58" w:rsidP="006323CF">
      <w:pPr>
        <w:numPr>
          <w:ilvl w:val="0"/>
          <w:numId w:val="42"/>
        </w:numPr>
        <w:spacing w:after="120"/>
        <w:rPr>
          <w:rFonts w:cs="Calibri"/>
          <w:sz w:val="24"/>
          <w:szCs w:val="24"/>
        </w:rPr>
      </w:pPr>
      <w:r w:rsidRPr="00C85F6B">
        <w:rPr>
          <w:rFonts w:cs="Calibri"/>
          <w:sz w:val="24"/>
          <w:szCs w:val="24"/>
        </w:rPr>
        <w:t xml:space="preserve">FTA Office of Safety, which will fund and sponsor the program for the industry and will consult on the project’s goals and implementation plan; </w:t>
      </w:r>
    </w:p>
    <w:p w:rsidR="008C794F" w:rsidRPr="00C85F6B" w:rsidRDefault="005B7F58" w:rsidP="006323CF">
      <w:pPr>
        <w:numPr>
          <w:ilvl w:val="0"/>
          <w:numId w:val="42"/>
        </w:numPr>
        <w:spacing w:after="120"/>
        <w:rPr>
          <w:rFonts w:cs="Calibri"/>
          <w:sz w:val="24"/>
          <w:szCs w:val="24"/>
        </w:rPr>
      </w:pPr>
      <w:r w:rsidRPr="00C85F6B">
        <w:rPr>
          <w:rFonts w:cs="Calibri"/>
          <w:sz w:val="24"/>
          <w:szCs w:val="24"/>
        </w:rPr>
        <w:t xml:space="preserve">The third party, which will collect and analyze the reporting data; </w:t>
      </w:r>
    </w:p>
    <w:p w:rsidR="008C794F" w:rsidRPr="00C85F6B" w:rsidRDefault="008C794F" w:rsidP="006323CF">
      <w:pPr>
        <w:numPr>
          <w:ilvl w:val="0"/>
          <w:numId w:val="42"/>
        </w:numPr>
        <w:spacing w:after="120"/>
        <w:rPr>
          <w:rFonts w:cs="Calibri"/>
          <w:sz w:val="24"/>
          <w:szCs w:val="24"/>
        </w:rPr>
      </w:pPr>
      <w:r w:rsidRPr="00C85F6B">
        <w:rPr>
          <w:rFonts w:cs="Calibri"/>
          <w:sz w:val="24"/>
          <w:szCs w:val="24"/>
        </w:rPr>
        <w:t>T</w:t>
      </w:r>
      <w:r w:rsidR="005B7F58" w:rsidRPr="00C85F6B">
        <w:rPr>
          <w:rFonts w:cs="Calibri"/>
          <w:sz w:val="24"/>
          <w:szCs w:val="24"/>
        </w:rPr>
        <w:t xml:space="preserve">he program evaluation organization chosen by FTA, </w:t>
      </w:r>
      <w:r w:rsidR="001A28CD" w:rsidRPr="00C85F6B">
        <w:rPr>
          <w:rFonts w:cs="Calibri"/>
          <w:sz w:val="24"/>
          <w:szCs w:val="24"/>
        </w:rPr>
        <w:t xml:space="preserve">which </w:t>
      </w:r>
      <w:r w:rsidR="005B7F58" w:rsidRPr="00C85F6B">
        <w:rPr>
          <w:rFonts w:cs="Calibri"/>
          <w:sz w:val="24"/>
          <w:szCs w:val="24"/>
        </w:rPr>
        <w:t xml:space="preserve">will coordinate the </w:t>
      </w:r>
      <w:r w:rsidR="00F149DF" w:rsidRPr="00C85F6B">
        <w:rPr>
          <w:rFonts w:cs="Calibri"/>
          <w:sz w:val="24"/>
          <w:szCs w:val="24"/>
        </w:rPr>
        <w:t>pilot</w:t>
      </w:r>
      <w:r w:rsidR="005B7F58" w:rsidRPr="00C85F6B">
        <w:rPr>
          <w:rFonts w:cs="Calibri"/>
          <w:sz w:val="24"/>
          <w:szCs w:val="24"/>
        </w:rPr>
        <w:t xml:space="preserve"> project, conduct the program evaluation, and provide staff support to the project; </w:t>
      </w:r>
    </w:p>
    <w:p w:rsidR="008C794F" w:rsidRPr="00C85F6B" w:rsidRDefault="008C794F" w:rsidP="006323CF">
      <w:pPr>
        <w:numPr>
          <w:ilvl w:val="0"/>
          <w:numId w:val="42"/>
        </w:numPr>
        <w:spacing w:after="120"/>
        <w:rPr>
          <w:rFonts w:cs="Calibri"/>
          <w:sz w:val="24"/>
          <w:szCs w:val="24"/>
        </w:rPr>
      </w:pPr>
      <w:r w:rsidRPr="00C85F6B">
        <w:rPr>
          <w:rFonts w:cs="Calibri"/>
          <w:sz w:val="24"/>
          <w:szCs w:val="24"/>
        </w:rPr>
        <w:t>T</w:t>
      </w:r>
      <w:r w:rsidR="005B7F58" w:rsidRPr="00C85F6B">
        <w:rPr>
          <w:rFonts w:cs="Calibri"/>
          <w:sz w:val="24"/>
          <w:szCs w:val="24"/>
        </w:rPr>
        <w:t xml:space="preserve">he RTAs, which will implement the reporting system on their respective transit agency; and </w:t>
      </w:r>
    </w:p>
    <w:p w:rsidR="008C794F" w:rsidRPr="00C85F6B" w:rsidRDefault="008C794F" w:rsidP="006323CF">
      <w:pPr>
        <w:numPr>
          <w:ilvl w:val="0"/>
          <w:numId w:val="42"/>
        </w:numPr>
        <w:spacing w:after="120"/>
        <w:rPr>
          <w:rFonts w:cs="Calibri"/>
          <w:sz w:val="24"/>
          <w:szCs w:val="24"/>
        </w:rPr>
      </w:pPr>
      <w:r w:rsidRPr="00C85F6B">
        <w:rPr>
          <w:rFonts w:cs="Calibri"/>
          <w:sz w:val="24"/>
          <w:szCs w:val="24"/>
        </w:rPr>
        <w:t>T</w:t>
      </w:r>
      <w:r w:rsidR="005B7F58" w:rsidRPr="00C85F6B">
        <w:rPr>
          <w:rFonts w:cs="Calibri"/>
          <w:sz w:val="24"/>
          <w:szCs w:val="24"/>
        </w:rPr>
        <w:t xml:space="preserve">he labor organizations, which will represent the employees providing the close call reports. </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52" w:name="_Toc316336535"/>
      <w:bookmarkStart w:id="153" w:name="_Toc317097339"/>
      <w:bookmarkStart w:id="154" w:name="_Toc317106181"/>
      <w:r w:rsidRPr="00DB6FFF">
        <w:rPr>
          <w:rFonts w:ascii="Calibri" w:hAnsi="Calibri" w:cs="Calibri"/>
        </w:rPr>
        <w:t>FTA's responsibilities in support of the MOU</w:t>
      </w:r>
      <w:bookmarkEnd w:id="151"/>
      <w:bookmarkEnd w:id="152"/>
      <w:bookmarkEnd w:id="153"/>
      <w:bookmarkEnd w:id="154"/>
    </w:p>
    <w:p w:rsidR="005B7F58" w:rsidRPr="00DB6FFF" w:rsidRDefault="005B7F58" w:rsidP="005B7F58">
      <w:pPr>
        <w:pStyle w:val="BodyText"/>
        <w:rPr>
          <w:rFonts w:ascii="Calibri" w:hAnsi="Calibri" w:cs="Calibri"/>
        </w:rPr>
      </w:pPr>
      <w:r w:rsidRPr="00DB6FFF">
        <w:rPr>
          <w:rFonts w:ascii="Calibri" w:hAnsi="Calibri" w:cs="Calibri"/>
        </w:rPr>
        <w:t>FTA will oversee the scope and quality of the work. Experience gained from other modes has indicated that the willingness of persons to submit a close call report depends to a large degree on preserving the RTA’s and the employee’s confidentiality as well as that of persons named in those reports. Accordingly, FTA agrees to “stay at arm’s length from the close call reports before the identifying information (see section 5.3) has been removed.” FTA will not seek, and the third party will not release to FTA, any information that might reveal the identity of such persons or organizations mentioned in close call reports.</w:t>
      </w:r>
    </w:p>
    <w:p w:rsidR="005B7F58" w:rsidRPr="00DB6FFF" w:rsidRDefault="005B7F58" w:rsidP="005B7F58">
      <w:pPr>
        <w:pStyle w:val="BodyText"/>
        <w:rPr>
          <w:rFonts w:ascii="Calibri" w:hAnsi="Calibri" w:cs="Calibri"/>
        </w:rPr>
      </w:pPr>
      <w:r w:rsidRPr="00DB6FFF">
        <w:rPr>
          <w:rFonts w:ascii="Calibri" w:hAnsi="Calibri" w:cs="Calibri"/>
        </w:rPr>
        <w:t xml:space="preserve">Specific FTA responsibilities include the following activities:  </w:t>
      </w:r>
    </w:p>
    <w:p w:rsidR="005B7F58" w:rsidRPr="00DB6FFF" w:rsidRDefault="005B7F58" w:rsidP="007310E6">
      <w:pPr>
        <w:pStyle w:val="BodyText"/>
        <w:numPr>
          <w:ilvl w:val="0"/>
          <w:numId w:val="21"/>
        </w:numPr>
        <w:rPr>
          <w:rFonts w:ascii="Calibri" w:hAnsi="Calibri" w:cs="Calibri"/>
        </w:rPr>
      </w:pPr>
      <w:r w:rsidRPr="00DB6FFF">
        <w:rPr>
          <w:rFonts w:ascii="Calibri" w:hAnsi="Calibri" w:cs="Calibri"/>
        </w:rPr>
        <w:t xml:space="preserve">Fund the Close Call </w:t>
      </w:r>
      <w:r w:rsidR="0036201E">
        <w:rPr>
          <w:rFonts w:ascii="Calibri" w:hAnsi="Calibri" w:cs="Calibri"/>
        </w:rPr>
        <w:t xml:space="preserve">Safety Reporting </w:t>
      </w:r>
      <w:r w:rsidR="00F149DF">
        <w:rPr>
          <w:rFonts w:ascii="Calibri" w:hAnsi="Calibri" w:cs="Calibri"/>
        </w:rPr>
        <w:t>Pilot</w:t>
      </w:r>
      <w:r w:rsidRPr="00DB6FFF">
        <w:rPr>
          <w:rFonts w:ascii="Calibri" w:hAnsi="Calibri" w:cs="Calibri"/>
        </w:rPr>
        <w:t xml:space="preserve"> Project if Congress appropriates funds for the project. The duration of the project is dependent upon continued Congressional funding. As provided in section 14, any party may terminate their participation in the project at any time. The amount of advance notice that must be provided will be set forth in the implementing MOUs.</w:t>
      </w:r>
    </w:p>
    <w:p w:rsidR="005B7F58" w:rsidRDefault="005B7F58" w:rsidP="007310E6">
      <w:pPr>
        <w:pStyle w:val="BodyText"/>
        <w:numPr>
          <w:ilvl w:val="0"/>
          <w:numId w:val="21"/>
        </w:numPr>
        <w:rPr>
          <w:rFonts w:ascii="Calibri" w:hAnsi="Calibri" w:cs="Calibri"/>
        </w:rPr>
      </w:pPr>
      <w:r w:rsidRPr="00DB6FFF">
        <w:rPr>
          <w:rFonts w:ascii="Calibri" w:hAnsi="Calibri" w:cs="Calibri"/>
        </w:rPr>
        <w:t>Approve the project plan, budget, and detailed implementation.</w:t>
      </w:r>
    </w:p>
    <w:p w:rsidR="00AC04D2" w:rsidRPr="00AC04D2" w:rsidRDefault="00AC04D2" w:rsidP="00AC04D2">
      <w:pPr>
        <w:pStyle w:val="BodyText"/>
        <w:numPr>
          <w:ilvl w:val="0"/>
          <w:numId w:val="21"/>
        </w:numPr>
        <w:rPr>
          <w:rFonts w:ascii="Calibri" w:hAnsi="Calibri" w:cs="Calibri"/>
        </w:rPr>
      </w:pPr>
      <w:r w:rsidRPr="00AC04D2">
        <w:rPr>
          <w:rFonts w:ascii="Calibri" w:hAnsi="Calibri" w:cs="Calibri"/>
        </w:rPr>
        <w:t>Identify and prepare pilot sites.</w:t>
      </w:r>
    </w:p>
    <w:p w:rsidR="002965A2" w:rsidRDefault="005B7F58" w:rsidP="007310E6">
      <w:pPr>
        <w:pStyle w:val="BodyText"/>
        <w:numPr>
          <w:ilvl w:val="0"/>
          <w:numId w:val="21"/>
        </w:numPr>
        <w:rPr>
          <w:rFonts w:ascii="Calibri" w:hAnsi="Calibri" w:cs="Calibri"/>
        </w:rPr>
      </w:pPr>
      <w:r w:rsidRPr="00DB6FFF">
        <w:rPr>
          <w:rFonts w:ascii="Calibri" w:hAnsi="Calibri" w:cs="Calibri"/>
        </w:rPr>
        <w:t xml:space="preserve">Assign </w:t>
      </w:r>
      <w:r w:rsidR="002965A2">
        <w:rPr>
          <w:rFonts w:ascii="Calibri" w:hAnsi="Calibri" w:cs="Calibri"/>
        </w:rPr>
        <w:t xml:space="preserve">FTA </w:t>
      </w:r>
      <w:r w:rsidRPr="00DB6FFF">
        <w:rPr>
          <w:rFonts w:ascii="Calibri" w:hAnsi="Calibri" w:cs="Calibri"/>
        </w:rPr>
        <w:t>employees to work on the PRT to analyze and summarize emerging trends as well as to recommend corrective actions.</w:t>
      </w:r>
    </w:p>
    <w:p w:rsidR="00AC04D2" w:rsidRDefault="00AC04D2" w:rsidP="007310E6">
      <w:pPr>
        <w:pStyle w:val="BodyText"/>
        <w:numPr>
          <w:ilvl w:val="0"/>
          <w:numId w:val="21"/>
        </w:numPr>
        <w:rPr>
          <w:rFonts w:ascii="Calibri" w:hAnsi="Calibri" w:cs="Calibri"/>
        </w:rPr>
      </w:pPr>
      <w:r>
        <w:rPr>
          <w:rFonts w:ascii="Calibri" w:hAnsi="Calibri" w:cs="Calibri"/>
        </w:rPr>
        <w:t>Monitor implementation of the MOU in cooperation with all other signatories.</w:t>
      </w:r>
    </w:p>
    <w:p w:rsidR="005B7F58" w:rsidRPr="00DB6FFF" w:rsidRDefault="002965A2" w:rsidP="007310E6">
      <w:pPr>
        <w:pStyle w:val="BodyText"/>
        <w:numPr>
          <w:ilvl w:val="0"/>
          <w:numId w:val="21"/>
        </w:numPr>
        <w:rPr>
          <w:rFonts w:ascii="Calibri" w:hAnsi="Calibri" w:cs="Calibri"/>
        </w:rPr>
      </w:pPr>
      <w:r w:rsidRPr="00DB6FFF">
        <w:rPr>
          <w:rFonts w:ascii="Calibri" w:hAnsi="Calibri" w:cs="Calibri"/>
        </w:rPr>
        <w:t xml:space="preserve"> </w:t>
      </w:r>
      <w:r w:rsidR="005B7F58" w:rsidRPr="00DB6FFF">
        <w:rPr>
          <w:rFonts w:ascii="Calibri" w:hAnsi="Calibri" w:cs="Calibri"/>
        </w:rPr>
        <w:t>Monitor the evaluation of the project.</w:t>
      </w:r>
    </w:p>
    <w:p w:rsidR="005B7F58" w:rsidRPr="00DB6FFF" w:rsidRDefault="005B7F58" w:rsidP="007310E6">
      <w:pPr>
        <w:pStyle w:val="BodyText"/>
        <w:numPr>
          <w:ilvl w:val="0"/>
          <w:numId w:val="21"/>
        </w:numPr>
        <w:rPr>
          <w:rFonts w:ascii="Calibri" w:hAnsi="Calibri" w:cs="Calibri"/>
        </w:rPr>
      </w:pPr>
      <w:r w:rsidRPr="00DB6FFF">
        <w:rPr>
          <w:rFonts w:ascii="Calibri" w:hAnsi="Calibri" w:cs="Calibri"/>
        </w:rPr>
        <w:t>Consult on the project’s organization, goals, objectives, elements, and high-level im</w:t>
      </w:r>
      <w:r w:rsidR="0065479C">
        <w:rPr>
          <w:rFonts w:ascii="Calibri" w:hAnsi="Calibri" w:cs="Calibri"/>
        </w:rPr>
        <w:t>plementation plan.</w:t>
      </w:r>
    </w:p>
    <w:p w:rsidR="005B7F58" w:rsidRDefault="005B7F58" w:rsidP="007310E6">
      <w:pPr>
        <w:pStyle w:val="BodyText"/>
        <w:numPr>
          <w:ilvl w:val="0"/>
          <w:numId w:val="21"/>
        </w:numPr>
        <w:rPr>
          <w:rFonts w:ascii="Calibri" w:hAnsi="Calibri" w:cs="Calibri"/>
        </w:rPr>
      </w:pPr>
      <w:r w:rsidRPr="00DB6FFF">
        <w:rPr>
          <w:rFonts w:ascii="Calibri" w:hAnsi="Calibri" w:cs="Calibri"/>
        </w:rPr>
        <w:lastRenderedPageBreak/>
        <w:t>Develop a model corrective action protocol, which is a communications system with a feedback loop between the RTA, the third party</w:t>
      </w:r>
      <w:r w:rsidR="00945F04">
        <w:rPr>
          <w:rFonts w:ascii="Calibri" w:hAnsi="Calibri" w:cs="Calibri"/>
        </w:rPr>
        <w:t>,</w:t>
      </w:r>
      <w:r w:rsidRPr="00DB6FFF">
        <w:rPr>
          <w:rFonts w:ascii="Calibri" w:hAnsi="Calibri" w:cs="Calibri"/>
        </w:rPr>
        <w:t xml:space="preserve"> and the PRT.</w:t>
      </w:r>
    </w:p>
    <w:p w:rsidR="00AC04D2" w:rsidRPr="00AC04D2" w:rsidRDefault="00AC04D2" w:rsidP="00AC04D2">
      <w:pPr>
        <w:pStyle w:val="BodyText"/>
        <w:numPr>
          <w:ilvl w:val="0"/>
          <w:numId w:val="21"/>
        </w:numPr>
        <w:rPr>
          <w:rFonts w:ascii="Calibri" w:hAnsi="Calibri" w:cs="Calibri"/>
        </w:rPr>
      </w:pPr>
      <w:r w:rsidRPr="00DB6FFF">
        <w:rPr>
          <w:rFonts w:ascii="Calibri" w:hAnsi="Calibri" w:cs="Calibri"/>
        </w:rPr>
        <w:t>Propose industry-wide corrective actions to address new sources of risk and emerging trends.</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55" w:name="_Toc75579432"/>
      <w:bookmarkStart w:id="156" w:name="_Toc316336536"/>
      <w:bookmarkStart w:id="157" w:name="_Toc317097340"/>
      <w:bookmarkStart w:id="158" w:name="_Toc317106182"/>
      <w:r w:rsidRPr="00DB6FFF">
        <w:rPr>
          <w:rFonts w:ascii="Calibri" w:hAnsi="Calibri" w:cs="Calibri"/>
        </w:rPr>
        <w:t>Third party’s responsibilities in support of the MOU</w:t>
      </w:r>
      <w:bookmarkEnd w:id="155"/>
      <w:bookmarkEnd w:id="156"/>
      <w:bookmarkEnd w:id="157"/>
      <w:bookmarkEnd w:id="158"/>
    </w:p>
    <w:p w:rsidR="00607818" w:rsidRDefault="005B7F58" w:rsidP="005B7F58">
      <w:pPr>
        <w:pStyle w:val="BodyText"/>
        <w:keepNext/>
        <w:keepLines/>
        <w:rPr>
          <w:rFonts w:ascii="Calibri" w:hAnsi="Calibri" w:cs="Calibri"/>
        </w:rPr>
      </w:pPr>
      <w:r w:rsidRPr="00DB6FFF">
        <w:rPr>
          <w:rFonts w:ascii="Calibri" w:hAnsi="Calibri" w:cs="Calibri"/>
        </w:rPr>
        <w:t xml:space="preserve">The third party’s responsibilities in support of the MOU are to manage the implementation of the close call </w:t>
      </w:r>
      <w:r w:rsidR="0036201E">
        <w:rPr>
          <w:rFonts w:ascii="Calibri" w:hAnsi="Calibri" w:cs="Calibri"/>
        </w:rPr>
        <w:t xml:space="preserve">safety </w:t>
      </w:r>
      <w:r w:rsidRPr="00DB6FFF">
        <w:rPr>
          <w:rFonts w:ascii="Calibri" w:hAnsi="Calibri" w:cs="Calibri"/>
        </w:rPr>
        <w:t>reporting system and protect the confidentiality of the data.  The third party will act as the owner of the data, and protect the confidentiality of this information through its own governa</w:t>
      </w:r>
      <w:r w:rsidR="00607818">
        <w:rPr>
          <w:rFonts w:ascii="Calibri" w:hAnsi="Calibri" w:cs="Calibri"/>
        </w:rPr>
        <w:t>nce</w:t>
      </w:r>
      <w:r w:rsidR="003A1626">
        <w:rPr>
          <w:rFonts w:ascii="Calibri" w:hAnsi="Calibri" w:cs="Calibri"/>
        </w:rPr>
        <w:t xml:space="preserve">, administrative protocols, </w:t>
      </w:r>
      <w:r w:rsidR="00607818">
        <w:rPr>
          <w:rFonts w:ascii="Calibri" w:hAnsi="Calibri" w:cs="Calibri"/>
        </w:rPr>
        <w:t>CIPSEA,</w:t>
      </w:r>
      <w:r w:rsidR="003A1626">
        <w:rPr>
          <w:rFonts w:ascii="Calibri" w:hAnsi="Calibri" w:cs="Calibri"/>
        </w:rPr>
        <w:t xml:space="preserve"> or other methods as</w:t>
      </w:r>
      <w:r w:rsidR="00607818">
        <w:rPr>
          <w:rFonts w:ascii="Calibri" w:hAnsi="Calibri" w:cs="Calibri"/>
        </w:rPr>
        <w:t xml:space="preserve"> applicable. </w:t>
      </w:r>
    </w:p>
    <w:p w:rsidR="00607818" w:rsidRDefault="00607818" w:rsidP="005B7F58">
      <w:pPr>
        <w:pStyle w:val="BodyText"/>
        <w:keepNext/>
        <w:keepLines/>
        <w:rPr>
          <w:rFonts w:ascii="Calibri" w:hAnsi="Calibri" w:cs="Calibri"/>
        </w:rPr>
      </w:pPr>
    </w:p>
    <w:p w:rsidR="005B7F58" w:rsidRPr="00DB6FFF" w:rsidRDefault="005B7F58" w:rsidP="005B7F58">
      <w:pPr>
        <w:pStyle w:val="BodyText"/>
        <w:keepNext/>
        <w:keepLines/>
        <w:rPr>
          <w:rFonts w:ascii="Calibri" w:hAnsi="Calibri" w:cs="Calibri"/>
        </w:rPr>
      </w:pPr>
      <w:r w:rsidRPr="00DB6FFF">
        <w:rPr>
          <w:rFonts w:ascii="Calibri" w:hAnsi="Calibri" w:cs="Calibri"/>
        </w:rPr>
        <w:t>Other tasks include the following:</w:t>
      </w:r>
    </w:p>
    <w:p w:rsidR="005B7F58" w:rsidRPr="00DB6FFF" w:rsidRDefault="005B7F58" w:rsidP="005B7F58">
      <w:pPr>
        <w:pStyle w:val="BodyText"/>
        <w:spacing w:before="240"/>
        <w:ind w:left="360"/>
        <w:rPr>
          <w:rFonts w:ascii="Calibri" w:hAnsi="Calibri" w:cs="Calibri"/>
          <w:b/>
          <w:bCs/>
          <w:i/>
          <w:iCs/>
        </w:rPr>
      </w:pPr>
      <w:r w:rsidRPr="00DB6FFF">
        <w:rPr>
          <w:rFonts w:ascii="Calibri" w:hAnsi="Calibri" w:cs="Calibri"/>
          <w:b/>
          <w:bCs/>
          <w:i/>
          <w:iCs/>
        </w:rPr>
        <w:t xml:space="preserve">Project planning </w:t>
      </w:r>
    </w:p>
    <w:p w:rsidR="005B7F58" w:rsidRPr="00DB6FFF" w:rsidRDefault="005B7F58" w:rsidP="007310E6">
      <w:pPr>
        <w:pStyle w:val="BodyText"/>
        <w:numPr>
          <w:ilvl w:val="0"/>
          <w:numId w:val="22"/>
        </w:numPr>
        <w:rPr>
          <w:rFonts w:ascii="Calibri" w:hAnsi="Calibri" w:cs="Calibri"/>
        </w:rPr>
      </w:pPr>
      <w:r w:rsidRPr="00DB6FFF">
        <w:rPr>
          <w:rFonts w:ascii="Calibri" w:hAnsi="Calibri" w:cs="Calibri"/>
        </w:rPr>
        <w:t xml:space="preserve">Design the project’s organization structure; goals, objectives, elements; project plan; draft of budget; high-level implementation plan; detailed implementation plan; and oversight and management of </w:t>
      </w:r>
      <w:r w:rsidR="00F149DF">
        <w:rPr>
          <w:rFonts w:ascii="Calibri" w:hAnsi="Calibri" w:cs="Calibri"/>
        </w:rPr>
        <w:t>pilot</w:t>
      </w:r>
      <w:r w:rsidRPr="00DB6FFF">
        <w:rPr>
          <w:rFonts w:ascii="Calibri" w:hAnsi="Calibri" w:cs="Calibri"/>
        </w:rPr>
        <w:t xml:space="preserve"> program. </w:t>
      </w:r>
    </w:p>
    <w:p w:rsidR="005B7F58" w:rsidRPr="00DB6FFF" w:rsidRDefault="00AC04D2" w:rsidP="007310E6">
      <w:pPr>
        <w:pStyle w:val="BodyText"/>
        <w:numPr>
          <w:ilvl w:val="0"/>
          <w:numId w:val="22"/>
        </w:numPr>
        <w:rPr>
          <w:rFonts w:ascii="Calibri" w:hAnsi="Calibri" w:cs="Calibri"/>
        </w:rPr>
      </w:pPr>
      <w:r>
        <w:rPr>
          <w:rFonts w:ascii="Calibri" w:hAnsi="Calibri" w:cs="Calibri"/>
        </w:rPr>
        <w:t xml:space="preserve">Provide </w:t>
      </w:r>
      <w:r w:rsidR="005B7F58" w:rsidRPr="00DB6FFF">
        <w:rPr>
          <w:rFonts w:ascii="Calibri" w:hAnsi="Calibri" w:cs="Calibri"/>
        </w:rPr>
        <w:t xml:space="preserve">training </w:t>
      </w:r>
      <w:r>
        <w:rPr>
          <w:rFonts w:ascii="Calibri" w:hAnsi="Calibri" w:cs="Calibri"/>
        </w:rPr>
        <w:t xml:space="preserve">to </w:t>
      </w:r>
      <w:r w:rsidR="005B7F58" w:rsidRPr="00DB6FFF">
        <w:rPr>
          <w:rFonts w:ascii="Calibri" w:hAnsi="Calibri" w:cs="Calibri"/>
        </w:rPr>
        <w:t>applicable employees and managers, and integrat</w:t>
      </w:r>
      <w:r>
        <w:rPr>
          <w:rFonts w:ascii="Calibri" w:hAnsi="Calibri" w:cs="Calibri"/>
        </w:rPr>
        <w:t>e</w:t>
      </w:r>
      <w:r w:rsidR="005B7F58" w:rsidRPr="00DB6FFF">
        <w:rPr>
          <w:rFonts w:ascii="Calibri" w:hAnsi="Calibri" w:cs="Calibri"/>
        </w:rPr>
        <w:t xml:space="preserve"> with other related efforts.</w:t>
      </w:r>
    </w:p>
    <w:p w:rsidR="005B7F58" w:rsidRPr="00DB6FFF" w:rsidRDefault="005B7F58" w:rsidP="007310E6">
      <w:pPr>
        <w:pStyle w:val="BodyText"/>
        <w:numPr>
          <w:ilvl w:val="0"/>
          <w:numId w:val="22"/>
        </w:numPr>
        <w:rPr>
          <w:rFonts w:ascii="Calibri" w:hAnsi="Calibri" w:cs="Calibri"/>
        </w:rPr>
      </w:pPr>
      <w:r w:rsidRPr="00DB6FFF">
        <w:rPr>
          <w:rFonts w:ascii="Calibri" w:hAnsi="Calibri" w:cs="Calibri"/>
        </w:rPr>
        <w:t>Provide a system for the transit agency employees to report close calls, confidentially, including processes and procedures for data collection, and analysis and interpretation of reports.</w:t>
      </w:r>
    </w:p>
    <w:p w:rsidR="005B7F58" w:rsidRPr="00DB6FFF" w:rsidRDefault="005B7F58" w:rsidP="007310E6">
      <w:pPr>
        <w:pStyle w:val="BodyText"/>
        <w:numPr>
          <w:ilvl w:val="0"/>
          <w:numId w:val="22"/>
        </w:numPr>
        <w:rPr>
          <w:rFonts w:ascii="Calibri" w:hAnsi="Calibri" w:cs="Calibri"/>
        </w:rPr>
      </w:pPr>
      <w:r w:rsidRPr="00DB6FFF">
        <w:rPr>
          <w:rFonts w:ascii="Calibri" w:hAnsi="Calibri" w:cs="Calibri"/>
        </w:rPr>
        <w:t xml:space="preserve">Provide a process for rigorous quality assurance of data input, output, content, and timeliness. </w:t>
      </w:r>
    </w:p>
    <w:p w:rsidR="005B7F58" w:rsidRPr="00DB6FFF" w:rsidRDefault="005B7F58" w:rsidP="007310E6">
      <w:pPr>
        <w:pStyle w:val="BodyText"/>
        <w:numPr>
          <w:ilvl w:val="0"/>
          <w:numId w:val="22"/>
        </w:numPr>
        <w:rPr>
          <w:rFonts w:ascii="Calibri" w:hAnsi="Calibri" w:cs="Calibri"/>
        </w:rPr>
      </w:pPr>
      <w:r w:rsidRPr="00DB6FFF">
        <w:rPr>
          <w:rFonts w:ascii="Calibri" w:hAnsi="Calibri" w:cs="Calibri"/>
        </w:rPr>
        <w:t xml:space="preserve">Manage a Close Call </w:t>
      </w:r>
      <w:r w:rsidR="0036201E">
        <w:rPr>
          <w:rFonts w:ascii="Calibri" w:hAnsi="Calibri" w:cs="Calibri"/>
        </w:rPr>
        <w:t xml:space="preserve">Safety Reporting System </w:t>
      </w:r>
      <w:r w:rsidRPr="00DB6FFF">
        <w:rPr>
          <w:rFonts w:ascii="Calibri" w:hAnsi="Calibri" w:cs="Calibri"/>
        </w:rPr>
        <w:t xml:space="preserve">website. </w:t>
      </w:r>
    </w:p>
    <w:p w:rsidR="005B7F58" w:rsidRPr="00DB6FFF" w:rsidRDefault="005B7F58" w:rsidP="005B7F58">
      <w:pPr>
        <w:pStyle w:val="BodyText"/>
        <w:spacing w:before="240"/>
        <w:ind w:left="360"/>
        <w:rPr>
          <w:rFonts w:ascii="Calibri" w:hAnsi="Calibri" w:cs="Calibri"/>
          <w:b/>
          <w:bCs/>
          <w:i/>
          <w:iCs/>
        </w:rPr>
      </w:pPr>
      <w:r w:rsidRPr="00DB6FFF">
        <w:rPr>
          <w:rFonts w:ascii="Calibri" w:hAnsi="Calibri" w:cs="Calibri"/>
          <w:b/>
          <w:bCs/>
          <w:i/>
          <w:iCs/>
        </w:rPr>
        <w:t xml:space="preserve">Manage reporting system </w:t>
      </w:r>
    </w:p>
    <w:p w:rsidR="005B7F58" w:rsidRPr="00DB6FFF" w:rsidRDefault="005B7F58" w:rsidP="007310E6">
      <w:pPr>
        <w:pStyle w:val="BodyText"/>
        <w:keepNext/>
        <w:keepLines/>
        <w:numPr>
          <w:ilvl w:val="0"/>
          <w:numId w:val="23"/>
        </w:numPr>
        <w:rPr>
          <w:rFonts w:ascii="Calibri" w:hAnsi="Calibri" w:cs="Calibri"/>
        </w:rPr>
      </w:pPr>
      <w:r w:rsidRPr="00DB6FFF">
        <w:rPr>
          <w:rFonts w:ascii="Calibri" w:hAnsi="Calibri" w:cs="Calibri"/>
        </w:rPr>
        <w:t>Enter close call report in the tracking system if it meets acceptance criteria.</w:t>
      </w:r>
    </w:p>
    <w:p w:rsidR="005B7F58" w:rsidRPr="00DB6FFF" w:rsidRDefault="005B7F58" w:rsidP="006323CF">
      <w:pPr>
        <w:pStyle w:val="BodyText"/>
        <w:numPr>
          <w:ilvl w:val="0"/>
          <w:numId w:val="28"/>
        </w:numPr>
        <w:spacing w:before="20" w:after="60"/>
        <w:rPr>
          <w:rFonts w:ascii="Calibri" w:hAnsi="Calibri" w:cs="Calibri"/>
        </w:rPr>
      </w:pPr>
      <w:r w:rsidRPr="00DB6FFF">
        <w:rPr>
          <w:rFonts w:ascii="Calibri" w:hAnsi="Calibri" w:cs="Calibri"/>
        </w:rPr>
        <w:t>Confirm eligibility (see section 7.1).</w:t>
      </w:r>
    </w:p>
    <w:p w:rsidR="005B7F58" w:rsidRPr="00DB6FFF" w:rsidRDefault="005B7F58" w:rsidP="006323CF">
      <w:pPr>
        <w:pStyle w:val="BodyText"/>
        <w:keepNext/>
        <w:keepLines/>
        <w:numPr>
          <w:ilvl w:val="0"/>
          <w:numId w:val="28"/>
        </w:numPr>
        <w:rPr>
          <w:rFonts w:ascii="Calibri" w:hAnsi="Calibri" w:cs="Calibri"/>
        </w:rPr>
      </w:pPr>
      <w:r w:rsidRPr="00DB6FFF">
        <w:rPr>
          <w:rFonts w:ascii="Calibri" w:hAnsi="Calibri" w:cs="Calibri"/>
        </w:rPr>
        <w:t>Date stamp and assign number.</w:t>
      </w:r>
    </w:p>
    <w:p w:rsidR="005B7F58" w:rsidRPr="00DB6FFF" w:rsidRDefault="005B7F58" w:rsidP="006323CF">
      <w:pPr>
        <w:pStyle w:val="BodyText"/>
        <w:keepNext/>
        <w:keepLines/>
        <w:numPr>
          <w:ilvl w:val="0"/>
          <w:numId w:val="28"/>
        </w:numPr>
        <w:rPr>
          <w:rFonts w:ascii="Calibri" w:hAnsi="Calibri" w:cs="Calibri"/>
        </w:rPr>
      </w:pPr>
      <w:r w:rsidRPr="00DB6FFF">
        <w:rPr>
          <w:rFonts w:ascii="Calibri" w:hAnsi="Calibri" w:cs="Calibri"/>
        </w:rPr>
        <w:t xml:space="preserve">Mail a receipt to the employee.  </w:t>
      </w:r>
    </w:p>
    <w:p w:rsidR="005B7F58" w:rsidRPr="00DB6FFF" w:rsidRDefault="001A28CD" w:rsidP="007310E6">
      <w:pPr>
        <w:pStyle w:val="BodyText"/>
        <w:keepNext/>
        <w:keepLines/>
        <w:numPr>
          <w:ilvl w:val="0"/>
          <w:numId w:val="23"/>
        </w:numPr>
        <w:rPr>
          <w:rFonts w:ascii="Calibri" w:hAnsi="Calibri" w:cs="Calibri"/>
        </w:rPr>
      </w:pPr>
      <w:r>
        <w:rPr>
          <w:rFonts w:ascii="Calibri" w:hAnsi="Calibri" w:cs="Calibri"/>
        </w:rPr>
        <w:t>C</w:t>
      </w:r>
      <w:r w:rsidR="005B7F58" w:rsidRPr="00DB6FFF">
        <w:rPr>
          <w:rFonts w:ascii="Calibri" w:hAnsi="Calibri" w:cs="Calibri"/>
        </w:rPr>
        <w:t>all the employee(s) to collect additional details about close call event or unsafe condition. If it meets acceptance criteria, report receives final acceptance.</w:t>
      </w:r>
    </w:p>
    <w:p w:rsidR="005B7F58" w:rsidRPr="00DB6FFF" w:rsidRDefault="005B7F58" w:rsidP="007310E6">
      <w:pPr>
        <w:pStyle w:val="BodyText"/>
        <w:numPr>
          <w:ilvl w:val="0"/>
          <w:numId w:val="23"/>
        </w:numPr>
        <w:rPr>
          <w:rFonts w:ascii="Calibri" w:hAnsi="Calibri" w:cs="Calibri"/>
        </w:rPr>
      </w:pPr>
      <w:r w:rsidRPr="00DB6FFF">
        <w:rPr>
          <w:rFonts w:ascii="Calibri" w:hAnsi="Calibri" w:cs="Calibri"/>
        </w:rPr>
        <w:t>De-identify close call report.</w:t>
      </w:r>
    </w:p>
    <w:p w:rsidR="005B7F58" w:rsidRPr="00DB6FFF" w:rsidRDefault="005B7F58" w:rsidP="007310E6">
      <w:pPr>
        <w:pStyle w:val="BodyText"/>
        <w:numPr>
          <w:ilvl w:val="0"/>
          <w:numId w:val="23"/>
        </w:numPr>
        <w:rPr>
          <w:rFonts w:ascii="Calibri" w:hAnsi="Calibri" w:cs="Calibri"/>
        </w:rPr>
      </w:pPr>
      <w:r w:rsidRPr="00DB6FFF">
        <w:rPr>
          <w:rFonts w:ascii="Calibri" w:hAnsi="Calibri" w:cs="Calibri"/>
        </w:rPr>
        <w:lastRenderedPageBreak/>
        <w:t>Analyze individual close call report for preliminary root causes and error recovery mechanisms. Analyze multiple reports for emerging trends and new sources of risk.  Produce a rep</w:t>
      </w:r>
      <w:r w:rsidR="00971DE5">
        <w:rPr>
          <w:rFonts w:ascii="Calibri" w:hAnsi="Calibri" w:cs="Calibri"/>
        </w:rPr>
        <w:t>ort based on the collected data and forward to the PRT for analysis.</w:t>
      </w:r>
    </w:p>
    <w:p w:rsidR="005B7F58" w:rsidRPr="00DB6FFF" w:rsidRDefault="005B7F58" w:rsidP="007310E6">
      <w:pPr>
        <w:pStyle w:val="BodyText"/>
        <w:numPr>
          <w:ilvl w:val="0"/>
          <w:numId w:val="23"/>
        </w:numPr>
        <w:rPr>
          <w:rFonts w:ascii="Calibri" w:hAnsi="Calibri" w:cs="Calibri"/>
        </w:rPr>
      </w:pPr>
      <w:r w:rsidRPr="00DB6FFF">
        <w:rPr>
          <w:rFonts w:ascii="Calibri" w:hAnsi="Calibri" w:cs="Calibri"/>
        </w:rPr>
        <w:t xml:space="preserve">Make feedback </w:t>
      </w:r>
      <w:r w:rsidR="00A10021">
        <w:rPr>
          <w:rFonts w:ascii="Calibri" w:hAnsi="Calibri" w:cs="Calibri"/>
        </w:rPr>
        <w:t>on corrective actions available to RTA employees and union members</w:t>
      </w:r>
      <w:r w:rsidRPr="00DB6FFF">
        <w:rPr>
          <w:rFonts w:ascii="Calibri" w:hAnsi="Calibri" w:cs="Calibri"/>
        </w:rPr>
        <w:t>.</w:t>
      </w:r>
    </w:p>
    <w:p w:rsidR="005B7F58" w:rsidRPr="00DB6FFF" w:rsidRDefault="00A10021" w:rsidP="007310E6">
      <w:pPr>
        <w:pStyle w:val="BodyText"/>
        <w:numPr>
          <w:ilvl w:val="0"/>
          <w:numId w:val="23"/>
        </w:numPr>
        <w:rPr>
          <w:rFonts w:ascii="Calibri" w:hAnsi="Calibri" w:cs="Calibri"/>
        </w:rPr>
      </w:pPr>
      <w:r>
        <w:rPr>
          <w:rFonts w:ascii="Calibri" w:hAnsi="Calibri" w:cs="Calibri"/>
        </w:rPr>
        <w:t>In cooperation with the PRT, d</w:t>
      </w:r>
      <w:r w:rsidR="005B7F58" w:rsidRPr="00DB6FFF">
        <w:rPr>
          <w:rFonts w:ascii="Calibri" w:hAnsi="Calibri" w:cs="Calibri"/>
        </w:rPr>
        <w:t xml:space="preserve">raft quarterly report to summarize emerging trends and corrective actions. Distribute to all participants in the Close Call </w:t>
      </w:r>
      <w:r w:rsidR="0036201E">
        <w:rPr>
          <w:rFonts w:ascii="Calibri" w:hAnsi="Calibri" w:cs="Calibri"/>
        </w:rPr>
        <w:t xml:space="preserve">Safety Reporting </w:t>
      </w:r>
      <w:r w:rsidR="00F149DF">
        <w:rPr>
          <w:rFonts w:ascii="Calibri" w:hAnsi="Calibri" w:cs="Calibri"/>
        </w:rPr>
        <w:t>Pilot</w:t>
      </w:r>
      <w:r w:rsidR="005B7F58" w:rsidRPr="00DB6FFF">
        <w:rPr>
          <w:rFonts w:ascii="Calibri" w:hAnsi="Calibri" w:cs="Calibri"/>
        </w:rPr>
        <w:t xml:space="preserve"> Project, including FTA, and put on a Close Call </w:t>
      </w:r>
      <w:r w:rsidR="0036201E">
        <w:rPr>
          <w:rFonts w:ascii="Calibri" w:hAnsi="Calibri" w:cs="Calibri"/>
        </w:rPr>
        <w:t xml:space="preserve">Safety Reporting System </w:t>
      </w:r>
      <w:r w:rsidR="005B7F58" w:rsidRPr="00DB6FFF">
        <w:rPr>
          <w:rFonts w:ascii="Calibri" w:hAnsi="Calibri" w:cs="Calibri"/>
        </w:rPr>
        <w:t>website.</w:t>
      </w:r>
    </w:p>
    <w:p w:rsidR="005B7F58" w:rsidRDefault="005B7F58" w:rsidP="007310E6">
      <w:pPr>
        <w:pStyle w:val="BodyText"/>
        <w:numPr>
          <w:ilvl w:val="0"/>
          <w:numId w:val="23"/>
        </w:numPr>
        <w:rPr>
          <w:rFonts w:ascii="Calibri" w:hAnsi="Calibri" w:cs="Calibri"/>
        </w:rPr>
      </w:pPr>
      <w:r w:rsidRPr="00DB6FFF">
        <w:rPr>
          <w:rFonts w:ascii="Calibri" w:hAnsi="Calibri" w:cs="Calibri"/>
        </w:rPr>
        <w:t xml:space="preserve">Write an annual report describing the status of the Close Call </w:t>
      </w:r>
      <w:r w:rsidR="0036201E">
        <w:rPr>
          <w:rFonts w:ascii="Calibri" w:hAnsi="Calibri" w:cs="Calibri"/>
        </w:rPr>
        <w:t xml:space="preserve">Safety Reporting </w:t>
      </w:r>
      <w:r w:rsidR="00F149DF">
        <w:rPr>
          <w:rFonts w:ascii="Calibri" w:hAnsi="Calibri" w:cs="Calibri"/>
        </w:rPr>
        <w:t>Pilot</w:t>
      </w:r>
      <w:r w:rsidRPr="00DB6FFF">
        <w:rPr>
          <w:rFonts w:ascii="Calibri" w:hAnsi="Calibri" w:cs="Calibri"/>
        </w:rPr>
        <w:t xml:space="preserve"> Project, any modifications made and lessons learned to date; describe emerging trends and recommended solutions; distribute to all participants in </w:t>
      </w:r>
      <w:r w:rsidR="00DB6FFF" w:rsidRPr="00DB6FFF">
        <w:rPr>
          <w:rFonts w:ascii="Calibri" w:hAnsi="Calibri" w:cs="Calibri"/>
        </w:rPr>
        <w:t>the Close</w:t>
      </w:r>
      <w:r w:rsidRPr="00DB6FFF">
        <w:rPr>
          <w:rFonts w:ascii="Calibri" w:hAnsi="Calibri" w:cs="Calibri"/>
        </w:rPr>
        <w:t xml:space="preserve"> Call </w:t>
      </w:r>
      <w:r w:rsidR="0036201E">
        <w:rPr>
          <w:rFonts w:ascii="Calibri" w:hAnsi="Calibri" w:cs="Calibri"/>
        </w:rPr>
        <w:t xml:space="preserve">Safety Reporting </w:t>
      </w:r>
      <w:r w:rsidR="00F149DF">
        <w:rPr>
          <w:rFonts w:ascii="Calibri" w:hAnsi="Calibri" w:cs="Calibri"/>
        </w:rPr>
        <w:t>Pilot</w:t>
      </w:r>
      <w:r w:rsidRPr="00DB6FFF">
        <w:rPr>
          <w:rFonts w:ascii="Calibri" w:hAnsi="Calibri" w:cs="Calibri"/>
        </w:rPr>
        <w:t xml:space="preserve"> Project, including FTA; and put on a Close Call </w:t>
      </w:r>
      <w:r w:rsidR="0036201E">
        <w:rPr>
          <w:rFonts w:ascii="Calibri" w:hAnsi="Calibri" w:cs="Calibri"/>
        </w:rPr>
        <w:t xml:space="preserve">Safety Reporting System </w:t>
      </w:r>
      <w:r w:rsidR="00E7244F">
        <w:rPr>
          <w:rFonts w:ascii="Calibri" w:hAnsi="Calibri" w:cs="Calibri"/>
        </w:rPr>
        <w:t>web</w:t>
      </w:r>
      <w:r w:rsidRPr="00DB6FFF">
        <w:rPr>
          <w:rFonts w:ascii="Calibri" w:hAnsi="Calibri" w:cs="Calibri"/>
        </w:rPr>
        <w:t>site.</w:t>
      </w:r>
    </w:p>
    <w:p w:rsidR="00AC04D2" w:rsidRPr="00DB6FFF" w:rsidRDefault="00AC04D2" w:rsidP="007310E6">
      <w:pPr>
        <w:pStyle w:val="BodyText"/>
        <w:numPr>
          <w:ilvl w:val="0"/>
          <w:numId w:val="23"/>
        </w:numPr>
        <w:rPr>
          <w:rFonts w:ascii="Calibri" w:hAnsi="Calibri" w:cs="Calibri"/>
        </w:rPr>
      </w:pPr>
      <w:r>
        <w:rPr>
          <w:rFonts w:ascii="Calibri" w:hAnsi="Calibri" w:cs="Calibri"/>
        </w:rPr>
        <w:t>Monitor implementation of the MOU in cooperation with all other signatories.</w:t>
      </w:r>
    </w:p>
    <w:p w:rsidR="00AC04D2" w:rsidRPr="00DB6FFF" w:rsidRDefault="00AC04D2" w:rsidP="00F8426D">
      <w:pPr>
        <w:pStyle w:val="BodyText"/>
        <w:spacing w:before="240"/>
        <w:ind w:left="360"/>
        <w:rPr>
          <w:rFonts w:ascii="Calibri" w:hAnsi="Calibri" w:cs="Calibri"/>
          <w:b/>
          <w:bCs/>
          <w:i/>
          <w:iCs/>
        </w:rPr>
      </w:pPr>
      <w:r w:rsidRPr="00DB6FFF">
        <w:rPr>
          <w:rFonts w:ascii="Calibri" w:hAnsi="Calibri" w:cs="Calibri"/>
          <w:b/>
          <w:bCs/>
          <w:i/>
          <w:iCs/>
        </w:rPr>
        <w:t>Analyze collective reports</w:t>
      </w:r>
    </w:p>
    <w:p w:rsidR="00AC04D2" w:rsidRPr="00DB6FFF" w:rsidRDefault="00AC04D2" w:rsidP="006323CF">
      <w:pPr>
        <w:pStyle w:val="BodyText"/>
        <w:numPr>
          <w:ilvl w:val="0"/>
          <w:numId w:val="29"/>
        </w:numPr>
        <w:rPr>
          <w:rFonts w:ascii="Calibri" w:hAnsi="Calibri" w:cs="Calibri"/>
        </w:rPr>
      </w:pPr>
      <w:r w:rsidRPr="00DB6FFF">
        <w:rPr>
          <w:rFonts w:ascii="Calibri" w:hAnsi="Calibri" w:cs="Calibri"/>
        </w:rPr>
        <w:t xml:space="preserve">Analyze data from multiple reports. </w:t>
      </w:r>
    </w:p>
    <w:p w:rsidR="00AC04D2" w:rsidRPr="00DB6FFF" w:rsidRDefault="00AC04D2" w:rsidP="006323CF">
      <w:pPr>
        <w:pStyle w:val="BodyText"/>
        <w:numPr>
          <w:ilvl w:val="0"/>
          <w:numId w:val="29"/>
        </w:numPr>
        <w:rPr>
          <w:rFonts w:ascii="Calibri" w:hAnsi="Calibri" w:cs="Calibri"/>
        </w:rPr>
      </w:pPr>
      <w:r w:rsidRPr="00DB6FFF">
        <w:rPr>
          <w:rFonts w:ascii="Calibri" w:hAnsi="Calibri" w:cs="Calibri"/>
        </w:rPr>
        <w:t xml:space="preserve">Identify emerging trends </w:t>
      </w:r>
      <w:r w:rsidR="00945F04">
        <w:rPr>
          <w:rFonts w:ascii="Calibri" w:hAnsi="Calibri" w:cs="Calibri"/>
        </w:rPr>
        <w:t>and</w:t>
      </w:r>
      <w:r w:rsidRPr="00DB6FFF">
        <w:rPr>
          <w:rFonts w:ascii="Calibri" w:hAnsi="Calibri" w:cs="Calibri"/>
        </w:rPr>
        <w:t xml:space="preserve"> new types of safety-critical events within and across the </w:t>
      </w:r>
      <w:r>
        <w:rPr>
          <w:rFonts w:ascii="Calibri" w:hAnsi="Calibri" w:cs="Calibri"/>
        </w:rPr>
        <w:t>pilot</w:t>
      </w:r>
      <w:r w:rsidRPr="00DB6FFF">
        <w:rPr>
          <w:rFonts w:ascii="Calibri" w:hAnsi="Calibri" w:cs="Calibri"/>
        </w:rPr>
        <w:t xml:space="preserve"> sites.</w:t>
      </w:r>
    </w:p>
    <w:p w:rsidR="00AC04D2" w:rsidRPr="00DB6FFF" w:rsidRDefault="00AC04D2" w:rsidP="006323CF">
      <w:pPr>
        <w:pStyle w:val="BodyText"/>
        <w:numPr>
          <w:ilvl w:val="0"/>
          <w:numId w:val="29"/>
        </w:numPr>
        <w:rPr>
          <w:rFonts w:ascii="Calibri" w:hAnsi="Calibri" w:cs="Calibri"/>
        </w:rPr>
      </w:pPr>
      <w:r w:rsidRPr="00DB6FFF">
        <w:rPr>
          <w:rFonts w:ascii="Calibri" w:hAnsi="Calibri" w:cs="Calibri"/>
        </w:rPr>
        <w:t xml:space="preserve">Review and discuss a summary report comprised of the individual close call reports, emerging trends, identified root causes and suggested corrective actions. Assess the association between emerging patterns or trends in close calls and relate those to corrective actions taken by the RTAs. </w:t>
      </w:r>
    </w:p>
    <w:p w:rsidR="00AC04D2" w:rsidRPr="00DB6FFF" w:rsidRDefault="00AC04D2" w:rsidP="006323CF">
      <w:pPr>
        <w:pStyle w:val="BodyText"/>
        <w:numPr>
          <w:ilvl w:val="0"/>
          <w:numId w:val="29"/>
        </w:numPr>
        <w:rPr>
          <w:rFonts w:ascii="Calibri" w:hAnsi="Calibri" w:cs="Calibri"/>
        </w:rPr>
      </w:pPr>
      <w:r w:rsidRPr="00DB6FFF">
        <w:rPr>
          <w:rFonts w:ascii="Calibri" w:hAnsi="Calibri" w:cs="Calibri"/>
        </w:rPr>
        <w:t>Give input into a trend analysis report that analyzes the individual reports, emerging trends, identified root causes and suggested corrective actions.</w:t>
      </w:r>
    </w:p>
    <w:p w:rsidR="00AC04D2" w:rsidRPr="00DB6FFF" w:rsidRDefault="00AC04D2" w:rsidP="006323CF">
      <w:pPr>
        <w:pStyle w:val="BodyText"/>
        <w:numPr>
          <w:ilvl w:val="0"/>
          <w:numId w:val="29"/>
        </w:numPr>
        <w:rPr>
          <w:rFonts w:ascii="Calibri" w:hAnsi="Calibri" w:cs="Calibri"/>
        </w:rPr>
      </w:pPr>
      <w:r w:rsidRPr="00DB6FFF">
        <w:rPr>
          <w:rFonts w:ascii="Calibri" w:hAnsi="Calibri" w:cs="Calibri"/>
        </w:rPr>
        <w:t>Review and discuss all reports prior to their distribution.</w:t>
      </w:r>
    </w:p>
    <w:p w:rsidR="005B7F58" w:rsidRPr="00DB6FFF" w:rsidRDefault="005B7F58" w:rsidP="005B7F58">
      <w:pPr>
        <w:pStyle w:val="BodyText"/>
        <w:keepNext/>
        <w:keepLines/>
        <w:spacing w:before="240"/>
        <w:ind w:left="360"/>
        <w:rPr>
          <w:rFonts w:ascii="Calibri" w:hAnsi="Calibri" w:cs="Calibri"/>
          <w:b/>
          <w:bCs/>
          <w:i/>
          <w:iCs/>
        </w:rPr>
      </w:pPr>
      <w:r w:rsidRPr="00DB6FFF">
        <w:rPr>
          <w:rFonts w:ascii="Calibri" w:hAnsi="Calibri" w:cs="Calibri"/>
          <w:b/>
          <w:bCs/>
          <w:i/>
          <w:iCs/>
        </w:rPr>
        <w:t xml:space="preserve">Program evaluation </w:t>
      </w:r>
    </w:p>
    <w:p w:rsidR="005B7F58" w:rsidRPr="00DB6FFF" w:rsidRDefault="005B7F58" w:rsidP="005B7F58">
      <w:pPr>
        <w:pStyle w:val="BodyText"/>
        <w:keepNext/>
        <w:keepLines/>
        <w:ind w:left="360"/>
        <w:rPr>
          <w:rFonts w:ascii="Calibri" w:hAnsi="Calibri" w:cs="Calibri"/>
        </w:rPr>
      </w:pPr>
      <w:r w:rsidRPr="00DB6FFF">
        <w:rPr>
          <w:rFonts w:ascii="Calibri" w:hAnsi="Calibri" w:cs="Calibri"/>
        </w:rPr>
        <w:t xml:space="preserve">The success of the Close Call </w:t>
      </w:r>
      <w:r w:rsidR="0036201E">
        <w:rPr>
          <w:rFonts w:ascii="Calibri" w:hAnsi="Calibri" w:cs="Calibri"/>
        </w:rPr>
        <w:t xml:space="preserve">Safety Reporting </w:t>
      </w:r>
      <w:r w:rsidR="00F149DF">
        <w:rPr>
          <w:rFonts w:ascii="Calibri" w:hAnsi="Calibri" w:cs="Calibri"/>
        </w:rPr>
        <w:t>Pilot</w:t>
      </w:r>
      <w:r w:rsidRPr="00DB6FFF">
        <w:rPr>
          <w:rFonts w:ascii="Calibri" w:hAnsi="Calibri" w:cs="Calibri"/>
        </w:rPr>
        <w:t xml:space="preserve"> Project depends upon its implementation and how it impacts safety at each of the participating transit agencies. A program evaluation will be conducted in a way to facilitate the smooth implementation of the project and measure the project’s effectiveness in improving safety with a minimal burden to the participating transit agencies. The program evaluation organization chosen by FTA will conduct the program evaluation component of this project with support from a third party. The following tasks related to program evaluation will be performed:</w:t>
      </w:r>
    </w:p>
    <w:p w:rsidR="005B7F58" w:rsidRPr="00DB6FFF" w:rsidRDefault="005B7F58" w:rsidP="007310E6">
      <w:pPr>
        <w:pStyle w:val="BodyText"/>
        <w:numPr>
          <w:ilvl w:val="0"/>
          <w:numId w:val="24"/>
        </w:numPr>
        <w:rPr>
          <w:rFonts w:ascii="Calibri" w:hAnsi="Calibri" w:cs="Calibri"/>
        </w:rPr>
      </w:pPr>
      <w:r w:rsidRPr="00DB6FFF">
        <w:rPr>
          <w:rFonts w:ascii="Calibri" w:hAnsi="Calibri" w:cs="Calibri"/>
        </w:rPr>
        <w:t xml:space="preserve">Collect baseline measures of safety and reporting culture for each participating transit agency. </w:t>
      </w:r>
    </w:p>
    <w:p w:rsidR="005B7F58" w:rsidRPr="00DB6FFF" w:rsidRDefault="005B7F58" w:rsidP="007310E6">
      <w:pPr>
        <w:pStyle w:val="BodyText"/>
        <w:numPr>
          <w:ilvl w:val="0"/>
          <w:numId w:val="24"/>
        </w:numPr>
        <w:rPr>
          <w:rFonts w:ascii="Calibri" w:hAnsi="Calibri" w:cs="Calibri"/>
        </w:rPr>
      </w:pPr>
      <w:r w:rsidRPr="00DB6FFF">
        <w:rPr>
          <w:rFonts w:ascii="Calibri" w:hAnsi="Calibri" w:cs="Calibri"/>
        </w:rPr>
        <w:lastRenderedPageBreak/>
        <w:t xml:space="preserve">Measure performance by tracking safety measures against the baseline to see if risk has been reduced. </w:t>
      </w:r>
    </w:p>
    <w:p w:rsidR="005B7F58" w:rsidRPr="00DB6FFF" w:rsidRDefault="005B7F58" w:rsidP="007310E6">
      <w:pPr>
        <w:pStyle w:val="BodyText"/>
        <w:numPr>
          <w:ilvl w:val="0"/>
          <w:numId w:val="24"/>
        </w:numPr>
        <w:rPr>
          <w:rFonts w:ascii="Calibri" w:hAnsi="Calibri" w:cs="Calibri"/>
        </w:rPr>
      </w:pPr>
      <w:r w:rsidRPr="00DB6FFF">
        <w:rPr>
          <w:rFonts w:ascii="Calibri" w:hAnsi="Calibri" w:cs="Calibri"/>
        </w:rPr>
        <w:t xml:space="preserve">Provide feedback to participants to improve the implementation of </w:t>
      </w:r>
      <w:r w:rsidR="0036201E">
        <w:rPr>
          <w:rFonts w:ascii="Calibri" w:hAnsi="Calibri" w:cs="Calibri"/>
        </w:rPr>
        <w:t>the Close C</w:t>
      </w:r>
      <w:r w:rsidRPr="00DB6FFF">
        <w:rPr>
          <w:rFonts w:ascii="Calibri" w:hAnsi="Calibri" w:cs="Calibri"/>
        </w:rPr>
        <w:t xml:space="preserve">all </w:t>
      </w:r>
      <w:r w:rsidR="0036201E">
        <w:rPr>
          <w:rFonts w:ascii="Calibri" w:hAnsi="Calibri" w:cs="Calibri"/>
        </w:rPr>
        <w:t>Safety Reporting P</w:t>
      </w:r>
      <w:r w:rsidR="00F149DF">
        <w:rPr>
          <w:rFonts w:ascii="Calibri" w:hAnsi="Calibri" w:cs="Calibri"/>
        </w:rPr>
        <w:t>ilot</w:t>
      </w:r>
      <w:r w:rsidR="0036201E">
        <w:rPr>
          <w:rFonts w:ascii="Calibri" w:hAnsi="Calibri" w:cs="Calibri"/>
        </w:rPr>
        <w:t xml:space="preserve"> P</w:t>
      </w:r>
      <w:r w:rsidRPr="00DB6FFF">
        <w:rPr>
          <w:rFonts w:ascii="Calibri" w:hAnsi="Calibri" w:cs="Calibri"/>
        </w:rPr>
        <w:t xml:space="preserve">roject. </w:t>
      </w:r>
    </w:p>
    <w:p w:rsidR="005B7F58" w:rsidRPr="00DB6FFF" w:rsidRDefault="005B7F58" w:rsidP="007310E6">
      <w:pPr>
        <w:pStyle w:val="BodyText"/>
        <w:numPr>
          <w:ilvl w:val="0"/>
          <w:numId w:val="24"/>
        </w:numPr>
        <w:rPr>
          <w:rFonts w:ascii="Calibri" w:hAnsi="Calibri" w:cs="Calibri"/>
        </w:rPr>
      </w:pPr>
      <w:r w:rsidRPr="00DB6FFF">
        <w:rPr>
          <w:rFonts w:ascii="Calibri" w:hAnsi="Calibri" w:cs="Calibri"/>
        </w:rPr>
        <w:t>Write baseline report, mid-term report, and final report.</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59" w:name="_Toc75579433"/>
      <w:bookmarkStart w:id="160" w:name="_Toc316336537"/>
      <w:bookmarkStart w:id="161" w:name="_Toc317097341"/>
      <w:bookmarkStart w:id="162" w:name="_Toc317106183"/>
      <w:r w:rsidRPr="00DB6FFF">
        <w:rPr>
          <w:rFonts w:ascii="Calibri" w:hAnsi="Calibri" w:cs="Calibri"/>
        </w:rPr>
        <w:t>RTA’s responsibilities in support of the MOU</w:t>
      </w:r>
      <w:bookmarkEnd w:id="159"/>
      <w:bookmarkEnd w:id="160"/>
      <w:bookmarkEnd w:id="161"/>
      <w:bookmarkEnd w:id="162"/>
    </w:p>
    <w:p w:rsidR="005B7F58" w:rsidRPr="00DB6FFF" w:rsidRDefault="005B7F58" w:rsidP="005B7F58">
      <w:pPr>
        <w:pStyle w:val="BodyText"/>
        <w:rPr>
          <w:rFonts w:ascii="Calibri" w:hAnsi="Calibri" w:cs="Calibri"/>
        </w:rPr>
      </w:pPr>
      <w:r w:rsidRPr="00DB6FFF">
        <w:rPr>
          <w:rFonts w:ascii="Calibri" w:hAnsi="Calibri" w:cs="Calibri"/>
        </w:rPr>
        <w:t xml:space="preserve">RTAs participating in the Close Call </w:t>
      </w:r>
      <w:r w:rsidR="0036201E">
        <w:rPr>
          <w:rFonts w:ascii="Calibri" w:hAnsi="Calibri" w:cs="Calibri"/>
        </w:rPr>
        <w:t xml:space="preserve">Safety Reporting </w:t>
      </w:r>
      <w:r w:rsidR="00F149DF">
        <w:rPr>
          <w:rFonts w:ascii="Calibri" w:hAnsi="Calibri" w:cs="Calibri"/>
        </w:rPr>
        <w:t>Pilot</w:t>
      </w:r>
      <w:r w:rsidRPr="00DB6FFF">
        <w:rPr>
          <w:rFonts w:ascii="Calibri" w:hAnsi="Calibri" w:cs="Calibri"/>
        </w:rPr>
        <w:t xml:space="preserve"> Project have the following responsibilities:  </w:t>
      </w:r>
    </w:p>
    <w:p w:rsidR="005B7F58" w:rsidRPr="00DB6FFF" w:rsidRDefault="005B7F58" w:rsidP="007310E6">
      <w:pPr>
        <w:pStyle w:val="BodyText"/>
        <w:numPr>
          <w:ilvl w:val="0"/>
          <w:numId w:val="25"/>
        </w:numPr>
        <w:rPr>
          <w:rFonts w:ascii="Calibri" w:hAnsi="Calibri" w:cs="Calibri"/>
        </w:rPr>
      </w:pPr>
      <w:r w:rsidRPr="00DB6FFF">
        <w:rPr>
          <w:rFonts w:ascii="Calibri" w:hAnsi="Calibri" w:cs="Calibri"/>
        </w:rPr>
        <w:t xml:space="preserve">Commit to the use of this reporting system at all levels of the organization. </w:t>
      </w:r>
    </w:p>
    <w:p w:rsidR="005B7F58" w:rsidRDefault="005B7F58" w:rsidP="007310E6">
      <w:pPr>
        <w:pStyle w:val="BodyText"/>
        <w:numPr>
          <w:ilvl w:val="0"/>
          <w:numId w:val="25"/>
        </w:numPr>
        <w:rPr>
          <w:rFonts w:ascii="Calibri" w:hAnsi="Calibri" w:cs="Calibri"/>
        </w:rPr>
      </w:pPr>
      <w:r w:rsidRPr="00DB6FFF">
        <w:rPr>
          <w:rFonts w:ascii="Calibri" w:hAnsi="Calibri" w:cs="Calibri"/>
        </w:rPr>
        <w:t>Consult on the high-level implementation plan</w:t>
      </w:r>
      <w:r w:rsidR="001A633A">
        <w:rPr>
          <w:rFonts w:ascii="Calibri" w:hAnsi="Calibri" w:cs="Calibri"/>
        </w:rPr>
        <w:t xml:space="preserve"> and allocate funding each year dedicated to implementing corrective actions</w:t>
      </w:r>
      <w:r w:rsidRPr="00DB6FFF">
        <w:rPr>
          <w:rFonts w:ascii="Calibri" w:hAnsi="Calibri" w:cs="Calibri"/>
        </w:rPr>
        <w:t>.</w:t>
      </w:r>
    </w:p>
    <w:p w:rsidR="00AC04D2" w:rsidRPr="00AC04D2" w:rsidRDefault="00AC04D2" w:rsidP="00AC04D2">
      <w:pPr>
        <w:pStyle w:val="BodyText"/>
        <w:numPr>
          <w:ilvl w:val="0"/>
          <w:numId w:val="25"/>
        </w:numPr>
        <w:rPr>
          <w:rFonts w:ascii="Calibri" w:hAnsi="Calibri" w:cs="Calibri"/>
        </w:rPr>
      </w:pPr>
      <w:r>
        <w:rPr>
          <w:rFonts w:ascii="Calibri" w:hAnsi="Calibri" w:cs="Calibri"/>
        </w:rPr>
        <w:t>Assist in explaining the close call reporting system to employees as the program is initiated and providing ongoing training and communication to employees.</w:t>
      </w:r>
    </w:p>
    <w:p w:rsidR="005B7F58" w:rsidRPr="00DB6FFF" w:rsidRDefault="00AF07BD" w:rsidP="007310E6">
      <w:pPr>
        <w:pStyle w:val="BodyText"/>
        <w:numPr>
          <w:ilvl w:val="0"/>
          <w:numId w:val="25"/>
        </w:numPr>
        <w:rPr>
          <w:rFonts w:ascii="Calibri" w:hAnsi="Calibri" w:cs="Calibri"/>
        </w:rPr>
      </w:pPr>
      <w:r>
        <w:rPr>
          <w:rFonts w:ascii="Calibri" w:hAnsi="Calibri" w:cs="Calibri"/>
        </w:rPr>
        <w:t>Two</w:t>
      </w:r>
      <w:r w:rsidR="005B7F58" w:rsidRPr="00DB6FFF">
        <w:rPr>
          <w:rFonts w:ascii="Calibri" w:hAnsi="Calibri" w:cs="Calibri"/>
        </w:rPr>
        <w:t xml:space="preserve"> RTA representative</w:t>
      </w:r>
      <w:r>
        <w:rPr>
          <w:rFonts w:ascii="Calibri" w:hAnsi="Calibri" w:cs="Calibri"/>
        </w:rPr>
        <w:t>s</w:t>
      </w:r>
      <w:r w:rsidR="005B7F58" w:rsidRPr="00DB6FFF">
        <w:rPr>
          <w:rFonts w:ascii="Calibri" w:hAnsi="Calibri" w:cs="Calibri"/>
        </w:rPr>
        <w:t xml:space="preserve"> should participate on the PRT to analyze and summarize emerging trends as well as to recommend corrective actions. </w:t>
      </w:r>
    </w:p>
    <w:p w:rsidR="005B7F58" w:rsidRPr="00DB6FFF" w:rsidRDefault="005B7F58" w:rsidP="007310E6">
      <w:pPr>
        <w:pStyle w:val="BodyText"/>
        <w:numPr>
          <w:ilvl w:val="0"/>
          <w:numId w:val="25"/>
        </w:numPr>
        <w:rPr>
          <w:rFonts w:ascii="Calibri" w:hAnsi="Calibri" w:cs="Calibri"/>
        </w:rPr>
      </w:pPr>
      <w:r w:rsidRPr="00DB6FFF">
        <w:rPr>
          <w:rFonts w:ascii="Calibri" w:hAnsi="Calibri" w:cs="Calibri"/>
        </w:rPr>
        <w:t>Senior management and supervisors cannot preempt their respective representative’s decision-making discretion for an event reported.</w:t>
      </w:r>
    </w:p>
    <w:p w:rsidR="005B7F58" w:rsidRPr="00DB6FFF" w:rsidRDefault="005B7F58" w:rsidP="007310E6">
      <w:pPr>
        <w:pStyle w:val="BodyText"/>
        <w:numPr>
          <w:ilvl w:val="0"/>
          <w:numId w:val="25"/>
        </w:numPr>
        <w:rPr>
          <w:rFonts w:ascii="Calibri" w:hAnsi="Calibri" w:cs="Calibri"/>
        </w:rPr>
      </w:pPr>
      <w:r w:rsidRPr="00DB6FFF">
        <w:rPr>
          <w:rFonts w:ascii="Calibri" w:hAnsi="Calibri" w:cs="Calibri"/>
        </w:rPr>
        <w:t xml:space="preserve">The RTA should “stay at arm’s length from close call report data before the identifying information has been removed (see section 5.3).” The RTA should not seek any information that might reveal the identity of employees or individuals mentioned in a close call report. </w:t>
      </w:r>
    </w:p>
    <w:p w:rsidR="005B7F58" w:rsidRPr="00CC096A" w:rsidRDefault="005B7F58" w:rsidP="00CC096A">
      <w:pPr>
        <w:pStyle w:val="BodyText"/>
        <w:numPr>
          <w:ilvl w:val="0"/>
          <w:numId w:val="25"/>
        </w:numPr>
        <w:rPr>
          <w:rFonts w:ascii="Calibri" w:hAnsi="Calibri" w:cs="Calibri"/>
        </w:rPr>
      </w:pPr>
      <w:r w:rsidRPr="00DB6FFF">
        <w:rPr>
          <w:rFonts w:ascii="Calibri" w:hAnsi="Calibri" w:cs="Calibri"/>
        </w:rPr>
        <w:t>The RTA will use the info</w:t>
      </w:r>
      <w:r w:rsidR="0036201E">
        <w:rPr>
          <w:rFonts w:ascii="Calibri" w:hAnsi="Calibri" w:cs="Calibri"/>
        </w:rPr>
        <w:t>rmation collected from the Close C</w:t>
      </w:r>
      <w:r w:rsidRPr="00DB6FFF">
        <w:rPr>
          <w:rFonts w:ascii="Calibri" w:hAnsi="Calibri" w:cs="Calibri"/>
        </w:rPr>
        <w:t xml:space="preserve">all </w:t>
      </w:r>
      <w:r w:rsidR="0036201E">
        <w:rPr>
          <w:rFonts w:ascii="Calibri" w:hAnsi="Calibri" w:cs="Calibri"/>
        </w:rPr>
        <w:t>Safety Reporting P</w:t>
      </w:r>
      <w:r w:rsidR="00F149DF">
        <w:rPr>
          <w:rFonts w:ascii="Calibri" w:hAnsi="Calibri" w:cs="Calibri"/>
        </w:rPr>
        <w:t>ilot</w:t>
      </w:r>
      <w:r w:rsidR="0036201E">
        <w:rPr>
          <w:rFonts w:ascii="Calibri" w:hAnsi="Calibri" w:cs="Calibri"/>
        </w:rPr>
        <w:t xml:space="preserve"> P</w:t>
      </w:r>
      <w:r w:rsidRPr="00DB6FFF">
        <w:rPr>
          <w:rFonts w:ascii="Calibri" w:hAnsi="Calibri" w:cs="Calibri"/>
        </w:rPr>
        <w:t>roject for the purpose of improving safety. The RTA agrees not to use the information for the purpose of disciplining employees.</w:t>
      </w:r>
      <w:r w:rsidR="004C3210">
        <w:rPr>
          <w:rFonts w:ascii="Calibri" w:hAnsi="Calibri" w:cs="Calibri"/>
        </w:rPr>
        <w:t xml:space="preserve"> </w:t>
      </w:r>
    </w:p>
    <w:p w:rsidR="005B7F58" w:rsidRPr="00DB6FFF" w:rsidRDefault="005B7F58" w:rsidP="007310E6">
      <w:pPr>
        <w:pStyle w:val="BodyText"/>
        <w:numPr>
          <w:ilvl w:val="0"/>
          <w:numId w:val="25"/>
        </w:numPr>
        <w:rPr>
          <w:rFonts w:ascii="Calibri" w:hAnsi="Calibri" w:cs="Calibri"/>
        </w:rPr>
      </w:pPr>
      <w:r w:rsidRPr="00DB6FFF">
        <w:rPr>
          <w:rFonts w:ascii="Calibri" w:hAnsi="Calibri" w:cs="Calibri"/>
        </w:rPr>
        <w:t>Take corrective action in a timely manner.</w:t>
      </w:r>
    </w:p>
    <w:p w:rsidR="005B7F58" w:rsidRPr="00DB6FFF" w:rsidRDefault="005B7F58" w:rsidP="007310E6">
      <w:pPr>
        <w:pStyle w:val="BodyText"/>
        <w:numPr>
          <w:ilvl w:val="0"/>
          <w:numId w:val="25"/>
        </w:numPr>
        <w:rPr>
          <w:rFonts w:ascii="Calibri" w:hAnsi="Calibri" w:cs="Calibri"/>
        </w:rPr>
      </w:pPr>
      <w:r w:rsidRPr="00DB6FFF">
        <w:rPr>
          <w:rFonts w:ascii="Calibri" w:hAnsi="Calibri" w:cs="Calibri"/>
        </w:rPr>
        <w:t xml:space="preserve">Report corrective actions taken to the </w:t>
      </w:r>
      <w:r w:rsidR="0053591F">
        <w:rPr>
          <w:rFonts w:ascii="Calibri" w:hAnsi="Calibri" w:cs="Calibri"/>
        </w:rPr>
        <w:t>t</w:t>
      </w:r>
      <w:r w:rsidR="00261F5E">
        <w:rPr>
          <w:rFonts w:ascii="Calibri" w:hAnsi="Calibri" w:cs="Calibri"/>
        </w:rPr>
        <w:t xml:space="preserve">hird </w:t>
      </w:r>
      <w:r w:rsidR="00CD6964">
        <w:rPr>
          <w:rFonts w:ascii="Calibri" w:hAnsi="Calibri" w:cs="Calibri"/>
        </w:rPr>
        <w:t xml:space="preserve">party </w:t>
      </w:r>
      <w:r w:rsidR="00CD6964" w:rsidRPr="00DB6FFF">
        <w:rPr>
          <w:rFonts w:ascii="Calibri" w:hAnsi="Calibri" w:cs="Calibri"/>
        </w:rPr>
        <w:t>or</w:t>
      </w:r>
      <w:r w:rsidRPr="00DB6FFF">
        <w:rPr>
          <w:rFonts w:ascii="Calibri" w:hAnsi="Calibri" w:cs="Calibri"/>
        </w:rPr>
        <w:t xml:space="preserve"> report why no action was taken.</w:t>
      </w:r>
    </w:p>
    <w:p w:rsidR="005B7F58" w:rsidRPr="00DB6FFF" w:rsidRDefault="005B7F58" w:rsidP="007310E6">
      <w:pPr>
        <w:pStyle w:val="BodyText"/>
        <w:numPr>
          <w:ilvl w:val="0"/>
          <w:numId w:val="25"/>
        </w:numPr>
        <w:rPr>
          <w:rFonts w:ascii="Calibri" w:hAnsi="Calibri" w:cs="Calibri"/>
        </w:rPr>
      </w:pPr>
      <w:r w:rsidRPr="00DB6FFF">
        <w:rPr>
          <w:rFonts w:ascii="Calibri" w:hAnsi="Calibri" w:cs="Calibri"/>
        </w:rPr>
        <w:t xml:space="preserve">As an important means to achieve success in this </w:t>
      </w:r>
      <w:r w:rsidR="00F149DF">
        <w:rPr>
          <w:rFonts w:ascii="Calibri" w:hAnsi="Calibri" w:cs="Calibri"/>
        </w:rPr>
        <w:t>pilot</w:t>
      </w:r>
      <w:r w:rsidRPr="00DB6FFF">
        <w:rPr>
          <w:rFonts w:ascii="Calibri" w:hAnsi="Calibri" w:cs="Calibri"/>
        </w:rPr>
        <w:t xml:space="preserve"> program, RTAs are encouraged to develop a communication plan for sharing findings with their employees. </w:t>
      </w:r>
    </w:p>
    <w:p w:rsidR="005B7F58" w:rsidRDefault="005B7F58" w:rsidP="007310E6">
      <w:pPr>
        <w:pStyle w:val="BodyText"/>
        <w:numPr>
          <w:ilvl w:val="0"/>
          <w:numId w:val="25"/>
        </w:numPr>
        <w:rPr>
          <w:rFonts w:ascii="Calibri" w:hAnsi="Calibri" w:cs="Calibri"/>
        </w:rPr>
      </w:pPr>
      <w:r w:rsidRPr="00DB6FFF">
        <w:rPr>
          <w:rFonts w:ascii="Calibri" w:hAnsi="Calibri" w:cs="Calibri"/>
        </w:rPr>
        <w:t xml:space="preserve">Report on the measured effectiveness of corrective actions to the </w:t>
      </w:r>
      <w:r w:rsidR="0053591F">
        <w:rPr>
          <w:rFonts w:ascii="Calibri" w:hAnsi="Calibri" w:cs="Calibri"/>
        </w:rPr>
        <w:t>t</w:t>
      </w:r>
      <w:r w:rsidR="00261F5E">
        <w:rPr>
          <w:rFonts w:ascii="Calibri" w:hAnsi="Calibri" w:cs="Calibri"/>
        </w:rPr>
        <w:t>hird p</w:t>
      </w:r>
      <w:r w:rsidR="001706B1">
        <w:rPr>
          <w:rFonts w:ascii="Calibri" w:hAnsi="Calibri" w:cs="Calibri"/>
        </w:rPr>
        <w:t>arty</w:t>
      </w:r>
      <w:r w:rsidRPr="00DB6FFF">
        <w:rPr>
          <w:rFonts w:ascii="Calibri" w:hAnsi="Calibri" w:cs="Calibri"/>
        </w:rPr>
        <w:t>.</w:t>
      </w:r>
    </w:p>
    <w:p w:rsidR="00AC04D2" w:rsidRPr="00DB6FFF" w:rsidRDefault="00AC04D2" w:rsidP="007310E6">
      <w:pPr>
        <w:pStyle w:val="BodyText"/>
        <w:numPr>
          <w:ilvl w:val="0"/>
          <w:numId w:val="25"/>
        </w:numPr>
        <w:rPr>
          <w:rFonts w:ascii="Calibri" w:hAnsi="Calibri" w:cs="Calibri"/>
        </w:rPr>
      </w:pPr>
      <w:r>
        <w:rPr>
          <w:rFonts w:ascii="Calibri" w:hAnsi="Calibri" w:cs="Calibri"/>
        </w:rPr>
        <w:t>Monitor implementation of the MOU in cooperation with all other signatories.</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63" w:name="_Toc75579434"/>
      <w:bookmarkStart w:id="164" w:name="_Toc316336538"/>
      <w:bookmarkStart w:id="165" w:name="_Toc317097342"/>
      <w:bookmarkStart w:id="166" w:name="_Toc317106184"/>
      <w:r w:rsidRPr="00DB6FFF">
        <w:rPr>
          <w:rFonts w:ascii="Calibri" w:hAnsi="Calibri" w:cs="Calibri"/>
        </w:rPr>
        <w:lastRenderedPageBreak/>
        <w:t>Labor organization’s responsibilities in support of the MOU</w:t>
      </w:r>
      <w:bookmarkEnd w:id="163"/>
      <w:bookmarkEnd w:id="164"/>
      <w:bookmarkEnd w:id="165"/>
      <w:bookmarkEnd w:id="166"/>
    </w:p>
    <w:p w:rsidR="005B7F58" w:rsidRPr="00DB6FFF" w:rsidRDefault="005B7F58" w:rsidP="005B7F58">
      <w:pPr>
        <w:pStyle w:val="BodyText"/>
        <w:rPr>
          <w:rFonts w:ascii="Calibri" w:hAnsi="Calibri" w:cs="Calibri"/>
        </w:rPr>
      </w:pPr>
      <w:r w:rsidRPr="00DB6FFF">
        <w:rPr>
          <w:rFonts w:ascii="Calibri" w:hAnsi="Calibri" w:cs="Calibri"/>
        </w:rPr>
        <w:t xml:space="preserve">Labor organizations participating in the Close Call </w:t>
      </w:r>
      <w:r w:rsidR="0036201E">
        <w:rPr>
          <w:rFonts w:ascii="Calibri" w:hAnsi="Calibri" w:cs="Calibri"/>
        </w:rPr>
        <w:t xml:space="preserve">Safety Reporting </w:t>
      </w:r>
      <w:r w:rsidR="00F149DF">
        <w:rPr>
          <w:rFonts w:ascii="Calibri" w:hAnsi="Calibri" w:cs="Calibri"/>
        </w:rPr>
        <w:t>Pilot</w:t>
      </w:r>
      <w:r w:rsidRPr="00DB6FFF">
        <w:rPr>
          <w:rFonts w:ascii="Calibri" w:hAnsi="Calibri" w:cs="Calibri"/>
        </w:rPr>
        <w:t xml:space="preserve"> Project have the following responsibilities: </w:t>
      </w:r>
    </w:p>
    <w:p w:rsidR="005B7F58" w:rsidRPr="00DB6FFF" w:rsidRDefault="005B7F58" w:rsidP="007310E6">
      <w:pPr>
        <w:pStyle w:val="BodyText"/>
        <w:numPr>
          <w:ilvl w:val="0"/>
          <w:numId w:val="26"/>
        </w:numPr>
        <w:rPr>
          <w:rFonts w:ascii="Calibri" w:hAnsi="Calibri" w:cs="Calibri"/>
        </w:rPr>
      </w:pPr>
      <w:r w:rsidRPr="00DB6FFF">
        <w:rPr>
          <w:rFonts w:ascii="Calibri" w:hAnsi="Calibri" w:cs="Calibri"/>
        </w:rPr>
        <w:t xml:space="preserve">Commit to the use of the close call </w:t>
      </w:r>
      <w:r w:rsidR="0036201E">
        <w:rPr>
          <w:rFonts w:ascii="Calibri" w:hAnsi="Calibri" w:cs="Calibri"/>
        </w:rPr>
        <w:t xml:space="preserve">safety </w:t>
      </w:r>
      <w:r w:rsidRPr="00DB6FFF">
        <w:rPr>
          <w:rFonts w:ascii="Calibri" w:hAnsi="Calibri" w:cs="Calibri"/>
        </w:rPr>
        <w:t xml:space="preserve">reporting system at all levels of the organization. </w:t>
      </w:r>
    </w:p>
    <w:p w:rsidR="005B7F58" w:rsidRPr="00DB6FFF" w:rsidRDefault="005B7F58" w:rsidP="007310E6">
      <w:pPr>
        <w:pStyle w:val="BodyText"/>
        <w:numPr>
          <w:ilvl w:val="0"/>
          <w:numId w:val="26"/>
        </w:numPr>
        <w:rPr>
          <w:rFonts w:ascii="Calibri" w:hAnsi="Calibri" w:cs="Calibri"/>
        </w:rPr>
      </w:pPr>
      <w:r w:rsidRPr="00DB6FFF">
        <w:rPr>
          <w:rFonts w:ascii="Calibri" w:hAnsi="Calibri" w:cs="Calibri"/>
        </w:rPr>
        <w:t>Consult on the high-level implementation plan.</w:t>
      </w:r>
    </w:p>
    <w:p w:rsidR="005B7F58" w:rsidRDefault="005B7F58" w:rsidP="007310E6">
      <w:pPr>
        <w:pStyle w:val="BodyText"/>
        <w:numPr>
          <w:ilvl w:val="0"/>
          <w:numId w:val="26"/>
        </w:numPr>
        <w:rPr>
          <w:rFonts w:ascii="Calibri" w:hAnsi="Calibri" w:cs="Calibri"/>
        </w:rPr>
      </w:pPr>
      <w:r w:rsidRPr="00DB6FFF">
        <w:rPr>
          <w:rFonts w:ascii="Calibri" w:hAnsi="Calibri" w:cs="Calibri"/>
        </w:rPr>
        <w:t>Representatives from each participating labor organization should participate on the PRT to analyze and summarize emerging trends as well as to recommend corrective actions.</w:t>
      </w:r>
    </w:p>
    <w:p w:rsidR="00AC04D2" w:rsidRPr="00AC04D2" w:rsidRDefault="00AC04D2" w:rsidP="00AC04D2">
      <w:pPr>
        <w:pStyle w:val="BodyText"/>
        <w:numPr>
          <w:ilvl w:val="0"/>
          <w:numId w:val="26"/>
        </w:numPr>
        <w:rPr>
          <w:rFonts w:ascii="Calibri" w:hAnsi="Calibri" w:cs="Calibri"/>
        </w:rPr>
      </w:pPr>
      <w:r>
        <w:rPr>
          <w:rFonts w:ascii="Calibri" w:hAnsi="Calibri" w:cs="Calibri"/>
        </w:rPr>
        <w:t>Monitor implementation of the MOU in cooperation with all other signatories.</w:t>
      </w:r>
    </w:p>
    <w:p w:rsidR="00AE4D30" w:rsidRDefault="00AE4D30" w:rsidP="007310E6">
      <w:pPr>
        <w:pStyle w:val="BodyText"/>
        <w:numPr>
          <w:ilvl w:val="0"/>
          <w:numId w:val="26"/>
        </w:numPr>
        <w:rPr>
          <w:rFonts w:ascii="Calibri" w:hAnsi="Calibri" w:cs="Calibri"/>
        </w:rPr>
      </w:pPr>
      <w:r>
        <w:rPr>
          <w:rFonts w:ascii="Calibri" w:hAnsi="Calibri" w:cs="Calibri"/>
        </w:rPr>
        <w:t>Assist in explaining the close call reporting system to employees as the program is initiated</w:t>
      </w:r>
      <w:r w:rsidR="00C654A1">
        <w:rPr>
          <w:rFonts w:ascii="Calibri" w:hAnsi="Calibri" w:cs="Calibri"/>
        </w:rPr>
        <w:t xml:space="preserve"> and providing on-going training and communication to union members.</w:t>
      </w:r>
    </w:p>
    <w:p w:rsidR="00AC04D2" w:rsidRPr="00DB6FFF" w:rsidRDefault="00AC04D2" w:rsidP="00AC04D2">
      <w:pPr>
        <w:pStyle w:val="Heading2"/>
        <w:keepLines w:val="0"/>
        <w:numPr>
          <w:ilvl w:val="1"/>
          <w:numId w:val="14"/>
        </w:numPr>
        <w:spacing w:before="360" w:after="120" w:line="240" w:lineRule="auto"/>
        <w:rPr>
          <w:rFonts w:ascii="Calibri" w:hAnsi="Calibri" w:cs="Calibri"/>
        </w:rPr>
      </w:pPr>
      <w:r>
        <w:rPr>
          <w:rFonts w:ascii="Calibri" w:hAnsi="Calibri" w:cs="Calibri"/>
        </w:rPr>
        <w:t>SSO</w:t>
      </w:r>
      <w:r w:rsidRPr="00DB6FFF">
        <w:rPr>
          <w:rFonts w:ascii="Calibri" w:hAnsi="Calibri" w:cs="Calibri"/>
        </w:rPr>
        <w:t xml:space="preserve"> responsibilities in support of the MOU</w:t>
      </w:r>
    </w:p>
    <w:p w:rsidR="005828F4" w:rsidRDefault="00AC04D2" w:rsidP="00AC04D2">
      <w:pPr>
        <w:pStyle w:val="BodyText"/>
        <w:rPr>
          <w:rFonts w:ascii="Calibri" w:hAnsi="Calibri" w:cs="Calibri"/>
        </w:rPr>
      </w:pPr>
      <w:r>
        <w:rPr>
          <w:rFonts w:ascii="Calibri" w:hAnsi="Calibri" w:cs="Calibri"/>
        </w:rPr>
        <w:t>The SSO</w:t>
      </w:r>
      <w:r w:rsidRPr="00DB6FFF">
        <w:rPr>
          <w:rFonts w:ascii="Calibri" w:hAnsi="Calibri" w:cs="Calibri"/>
        </w:rPr>
        <w:t xml:space="preserve"> will </w:t>
      </w:r>
      <w:r w:rsidR="00804F50">
        <w:rPr>
          <w:rFonts w:ascii="Calibri" w:hAnsi="Calibri" w:cs="Calibri"/>
        </w:rPr>
        <w:t>provide expertise to the PRTs when feasible.</w:t>
      </w:r>
      <w:r w:rsidR="005828F4">
        <w:rPr>
          <w:rFonts w:ascii="Calibri" w:hAnsi="Calibri" w:cs="Calibri"/>
        </w:rPr>
        <w:t xml:space="preserve"> The SSO</w:t>
      </w:r>
      <w:r w:rsidR="005828F4" w:rsidRPr="005828F4">
        <w:rPr>
          <w:rFonts w:ascii="Calibri" w:hAnsi="Calibri" w:cs="Calibri"/>
        </w:rPr>
        <w:t xml:space="preserve"> will use the information collected from the Close Call Safety Reporting Pilot Project for the purp</w:t>
      </w:r>
      <w:r w:rsidR="005828F4">
        <w:rPr>
          <w:rFonts w:ascii="Calibri" w:hAnsi="Calibri" w:cs="Calibri"/>
        </w:rPr>
        <w:t>ose of improving safety. The SSO</w:t>
      </w:r>
      <w:r w:rsidR="005828F4" w:rsidRPr="005828F4">
        <w:rPr>
          <w:rFonts w:ascii="Calibri" w:hAnsi="Calibri" w:cs="Calibri"/>
        </w:rPr>
        <w:t xml:space="preserve"> </w:t>
      </w:r>
      <w:r w:rsidR="004F4AC5">
        <w:rPr>
          <w:rFonts w:ascii="Calibri" w:hAnsi="Calibri" w:cs="Calibri"/>
        </w:rPr>
        <w:t>will</w:t>
      </w:r>
      <w:r w:rsidR="004F4AC5" w:rsidRPr="005828F4">
        <w:rPr>
          <w:rFonts w:ascii="Calibri" w:hAnsi="Calibri" w:cs="Calibri"/>
        </w:rPr>
        <w:t xml:space="preserve"> </w:t>
      </w:r>
      <w:r w:rsidR="005828F4" w:rsidRPr="005828F4">
        <w:rPr>
          <w:rFonts w:ascii="Calibri" w:hAnsi="Calibri" w:cs="Calibri"/>
        </w:rPr>
        <w:t xml:space="preserve">not use the information for the purpose of </w:t>
      </w:r>
      <w:r w:rsidR="005828F4">
        <w:rPr>
          <w:rFonts w:ascii="Calibri" w:hAnsi="Calibri" w:cs="Calibri"/>
        </w:rPr>
        <w:t>pursuing enforcement action against the participating RTA</w:t>
      </w:r>
      <w:r w:rsidR="005828F4" w:rsidRPr="005828F4">
        <w:rPr>
          <w:rFonts w:ascii="Calibri" w:hAnsi="Calibri" w:cs="Calibri"/>
        </w:rPr>
        <w:t>.</w:t>
      </w:r>
    </w:p>
    <w:p w:rsidR="00AC04D2" w:rsidRPr="00DB6FFF" w:rsidRDefault="006323CF" w:rsidP="00AC04D2">
      <w:pPr>
        <w:pStyle w:val="BodyText"/>
        <w:rPr>
          <w:rFonts w:ascii="Calibri" w:hAnsi="Calibri" w:cs="Calibri"/>
        </w:rPr>
      </w:pPr>
      <w:r>
        <w:rPr>
          <w:rFonts w:ascii="Calibri" w:hAnsi="Calibri" w:cs="Calibri"/>
        </w:rPr>
        <w:t xml:space="preserve">Specific </w:t>
      </w:r>
      <w:r w:rsidR="00C869D7">
        <w:rPr>
          <w:rFonts w:ascii="Calibri" w:hAnsi="Calibri" w:cs="Calibri"/>
        </w:rPr>
        <w:t xml:space="preserve">SSO </w:t>
      </w:r>
      <w:r w:rsidR="00AC04D2" w:rsidRPr="00DB6FFF">
        <w:rPr>
          <w:rFonts w:ascii="Calibri" w:hAnsi="Calibri" w:cs="Calibri"/>
        </w:rPr>
        <w:t xml:space="preserve">responsibilities include the following activities:  </w:t>
      </w:r>
    </w:p>
    <w:p w:rsidR="00AC04D2" w:rsidRDefault="0053591F" w:rsidP="006323CF">
      <w:pPr>
        <w:pStyle w:val="BodyText"/>
        <w:numPr>
          <w:ilvl w:val="0"/>
          <w:numId w:val="41"/>
        </w:numPr>
        <w:rPr>
          <w:rFonts w:ascii="Calibri" w:hAnsi="Calibri" w:cs="Calibri"/>
        </w:rPr>
      </w:pPr>
      <w:r>
        <w:rPr>
          <w:rFonts w:ascii="Calibri" w:hAnsi="Calibri" w:cs="Calibri"/>
        </w:rPr>
        <w:t xml:space="preserve">When feasible, </w:t>
      </w:r>
      <w:r w:rsidR="005828F4">
        <w:rPr>
          <w:rFonts w:ascii="Calibri" w:hAnsi="Calibri" w:cs="Calibri"/>
        </w:rPr>
        <w:t>assign</w:t>
      </w:r>
      <w:r w:rsidR="00AC04D2" w:rsidRPr="00DB6FFF">
        <w:rPr>
          <w:rFonts w:ascii="Calibri" w:hAnsi="Calibri" w:cs="Calibri"/>
        </w:rPr>
        <w:t xml:space="preserve"> </w:t>
      </w:r>
      <w:r w:rsidR="00AC04D2">
        <w:rPr>
          <w:rFonts w:ascii="Calibri" w:hAnsi="Calibri" w:cs="Calibri"/>
        </w:rPr>
        <w:t xml:space="preserve">SSO </w:t>
      </w:r>
      <w:r w:rsidR="00AC04D2" w:rsidRPr="00DB6FFF">
        <w:rPr>
          <w:rFonts w:ascii="Calibri" w:hAnsi="Calibri" w:cs="Calibri"/>
        </w:rPr>
        <w:t>employees to work on the PRT to analyze and summarize emerging trends as well as</w:t>
      </w:r>
      <w:r>
        <w:rPr>
          <w:rFonts w:ascii="Calibri" w:hAnsi="Calibri" w:cs="Calibri"/>
        </w:rPr>
        <w:t xml:space="preserve"> to recommend corrective actions</w:t>
      </w:r>
      <w:r w:rsidR="00AC04D2" w:rsidRPr="00DB6FFF">
        <w:rPr>
          <w:rFonts w:ascii="Calibri" w:hAnsi="Calibri" w:cs="Calibri"/>
        </w:rPr>
        <w:t>.</w:t>
      </w:r>
    </w:p>
    <w:p w:rsidR="00AC04D2" w:rsidRPr="00AC04D2" w:rsidRDefault="00AC04D2" w:rsidP="006323CF">
      <w:pPr>
        <w:pStyle w:val="BodyText"/>
        <w:numPr>
          <w:ilvl w:val="0"/>
          <w:numId w:val="41"/>
        </w:numPr>
        <w:rPr>
          <w:rFonts w:ascii="Calibri" w:hAnsi="Calibri" w:cs="Calibri"/>
        </w:rPr>
      </w:pPr>
      <w:r>
        <w:rPr>
          <w:rFonts w:ascii="Calibri" w:hAnsi="Calibri" w:cs="Calibri"/>
        </w:rPr>
        <w:t>Monitor implementation of the MOU in cooperation with all other signatories.</w:t>
      </w:r>
    </w:p>
    <w:p w:rsidR="00AC04D2" w:rsidRPr="006323CF" w:rsidRDefault="00AC04D2" w:rsidP="006323CF">
      <w:pPr>
        <w:pStyle w:val="BodyText"/>
        <w:numPr>
          <w:ilvl w:val="0"/>
          <w:numId w:val="41"/>
        </w:numPr>
        <w:rPr>
          <w:rFonts w:ascii="Calibri" w:hAnsi="Calibri" w:cs="Calibri"/>
        </w:rPr>
      </w:pPr>
      <w:r>
        <w:rPr>
          <w:rFonts w:ascii="Calibri" w:hAnsi="Calibri" w:cs="Calibri"/>
        </w:rPr>
        <w:t>Assist FTA in d</w:t>
      </w:r>
      <w:r w:rsidRPr="00DB6FFF">
        <w:rPr>
          <w:rFonts w:ascii="Calibri" w:hAnsi="Calibri" w:cs="Calibri"/>
        </w:rPr>
        <w:t>evelop</w:t>
      </w:r>
      <w:r>
        <w:rPr>
          <w:rFonts w:ascii="Calibri" w:hAnsi="Calibri" w:cs="Calibri"/>
        </w:rPr>
        <w:t>ing</w:t>
      </w:r>
      <w:r w:rsidRPr="00DB6FFF">
        <w:rPr>
          <w:rFonts w:ascii="Calibri" w:hAnsi="Calibri" w:cs="Calibri"/>
        </w:rPr>
        <w:t xml:space="preserve"> a model corrective action protocol, which is a communications system with a feedback loop between the RTA, the third party</w:t>
      </w:r>
      <w:r w:rsidR="005B298A">
        <w:rPr>
          <w:rFonts w:ascii="Calibri" w:hAnsi="Calibri" w:cs="Calibri"/>
        </w:rPr>
        <w:t>,</w:t>
      </w:r>
      <w:r w:rsidRPr="00DB6FFF">
        <w:rPr>
          <w:rFonts w:ascii="Calibri" w:hAnsi="Calibri" w:cs="Calibri"/>
        </w:rPr>
        <w:t xml:space="preserve"> and the PRT.</w:t>
      </w:r>
    </w:p>
    <w:p w:rsidR="005B7F58" w:rsidRPr="00DB6FFF" w:rsidRDefault="005B7F58" w:rsidP="007310E6">
      <w:pPr>
        <w:pStyle w:val="Heading2"/>
        <w:keepLines w:val="0"/>
        <w:numPr>
          <w:ilvl w:val="1"/>
          <w:numId w:val="14"/>
        </w:numPr>
        <w:spacing w:before="360" w:after="120" w:line="240" w:lineRule="auto"/>
        <w:rPr>
          <w:rFonts w:ascii="Calibri" w:hAnsi="Calibri" w:cs="Calibri"/>
        </w:rPr>
      </w:pPr>
      <w:bookmarkStart w:id="167" w:name="_Toc75579435"/>
      <w:bookmarkStart w:id="168" w:name="_Toc316336539"/>
      <w:bookmarkStart w:id="169" w:name="_Toc317097343"/>
      <w:bookmarkStart w:id="170" w:name="_Toc317106185"/>
      <w:r w:rsidRPr="00DB6FFF">
        <w:rPr>
          <w:rFonts w:ascii="Calibri" w:hAnsi="Calibri" w:cs="Calibri"/>
        </w:rPr>
        <w:t>Peer Review Team</w:t>
      </w:r>
      <w:bookmarkEnd w:id="167"/>
      <w:r w:rsidRPr="00DB6FFF">
        <w:rPr>
          <w:rFonts w:ascii="Calibri" w:hAnsi="Calibri" w:cs="Calibri"/>
        </w:rPr>
        <w:t>’s responsibilities in support of the MOU</w:t>
      </w:r>
      <w:bookmarkEnd w:id="168"/>
      <w:bookmarkEnd w:id="169"/>
      <w:bookmarkEnd w:id="170"/>
    </w:p>
    <w:p w:rsidR="00607818" w:rsidRDefault="005B7F58" w:rsidP="005B7F58">
      <w:pPr>
        <w:pStyle w:val="BodyText"/>
        <w:rPr>
          <w:rFonts w:ascii="Calibri" w:hAnsi="Calibri" w:cs="Calibri"/>
        </w:rPr>
      </w:pPr>
      <w:bookmarkStart w:id="171" w:name="_Toc75579436"/>
      <w:r w:rsidRPr="00DB6FFF">
        <w:rPr>
          <w:rFonts w:ascii="Calibri" w:hAnsi="Calibri" w:cs="Calibri"/>
        </w:rPr>
        <w:t>The PRT consists of individuals from the primary stakeholders (RTAs, labor organizations, and SSO) to represent their employer’s perspectives in forming a comprehensive view of close call events. The PRT will be composed of two representatives from each of the following stakeholder groups: RTA management, the affected labor organizations, and the SSO.</w:t>
      </w:r>
      <w:r w:rsidRPr="00DB6FFF">
        <w:rPr>
          <w:rStyle w:val="FootnoteReference"/>
          <w:rFonts w:ascii="Calibri" w:hAnsi="Calibri" w:cs="Calibri"/>
        </w:rPr>
        <w:footnoteReference w:id="10"/>
      </w:r>
      <w:r w:rsidRPr="00DB6FFF">
        <w:rPr>
          <w:rFonts w:ascii="Calibri" w:hAnsi="Calibri" w:cs="Calibri"/>
        </w:rPr>
        <w:t xml:space="preserve">  </w:t>
      </w:r>
      <w:r w:rsidRPr="007A5179">
        <w:rPr>
          <w:rFonts w:ascii="Calibri" w:hAnsi="Calibri" w:cs="Calibri"/>
        </w:rPr>
        <w:t xml:space="preserve">One representative from the third party will participate. </w:t>
      </w:r>
      <w:r w:rsidR="007A5179">
        <w:rPr>
          <w:rFonts w:ascii="Calibri" w:hAnsi="Calibri" w:cs="Calibri"/>
        </w:rPr>
        <w:t>T</w:t>
      </w:r>
      <w:r w:rsidRPr="00DB6FFF">
        <w:rPr>
          <w:rFonts w:ascii="Calibri" w:hAnsi="Calibri" w:cs="Calibri"/>
        </w:rPr>
        <w:t>he PRT will draw members from the local level of the primary stakeholders.</w:t>
      </w:r>
      <w:r w:rsidR="007A5179">
        <w:rPr>
          <w:rFonts w:ascii="Calibri" w:hAnsi="Calibri" w:cs="Calibri"/>
        </w:rPr>
        <w:t xml:space="preserve"> </w:t>
      </w:r>
      <w:r w:rsidRPr="00DB6FFF">
        <w:rPr>
          <w:rFonts w:ascii="Calibri" w:hAnsi="Calibri" w:cs="Calibri"/>
        </w:rPr>
        <w:t>Continuity of the PRT membership is essential for success.</w:t>
      </w:r>
    </w:p>
    <w:p w:rsidR="005B7F58" w:rsidRPr="00DB6FFF" w:rsidRDefault="005B7F58" w:rsidP="005B7F58">
      <w:pPr>
        <w:pStyle w:val="BodyText"/>
        <w:rPr>
          <w:rFonts w:ascii="Calibri" w:hAnsi="Calibri" w:cs="Calibri"/>
        </w:rPr>
      </w:pPr>
      <w:r w:rsidRPr="00DB6FFF">
        <w:rPr>
          <w:rFonts w:ascii="Calibri" w:hAnsi="Calibri" w:cs="Calibri"/>
        </w:rPr>
        <w:t xml:space="preserve">The PRT will meet at a minimum on a quarterly basis. Their primary responsibilities include the following: </w:t>
      </w:r>
    </w:p>
    <w:p w:rsidR="005B7F58" w:rsidRPr="00DB6FFF" w:rsidRDefault="005B7F58" w:rsidP="005B7F58">
      <w:pPr>
        <w:pStyle w:val="BodyText"/>
        <w:spacing w:before="240"/>
        <w:ind w:left="360"/>
        <w:rPr>
          <w:rFonts w:ascii="Calibri" w:hAnsi="Calibri" w:cs="Calibri"/>
          <w:b/>
          <w:bCs/>
          <w:i/>
          <w:iCs/>
        </w:rPr>
      </w:pPr>
      <w:r w:rsidRPr="00DB6FFF">
        <w:rPr>
          <w:rFonts w:ascii="Calibri" w:hAnsi="Calibri" w:cs="Calibri"/>
          <w:b/>
          <w:bCs/>
          <w:i/>
          <w:iCs/>
        </w:rPr>
        <w:lastRenderedPageBreak/>
        <w:t>Analyze each individual close call report after the identifying information has been removed</w:t>
      </w:r>
    </w:p>
    <w:p w:rsidR="005B7F58" w:rsidRPr="00DB6FFF" w:rsidRDefault="005B7F58" w:rsidP="007310E6">
      <w:pPr>
        <w:pStyle w:val="BodyText"/>
        <w:numPr>
          <w:ilvl w:val="0"/>
          <w:numId w:val="27"/>
        </w:numPr>
        <w:rPr>
          <w:rFonts w:ascii="Calibri" w:hAnsi="Calibri" w:cs="Calibri"/>
        </w:rPr>
      </w:pPr>
      <w:r w:rsidRPr="00DB6FFF">
        <w:rPr>
          <w:rFonts w:ascii="Calibri" w:hAnsi="Calibri" w:cs="Calibri"/>
        </w:rPr>
        <w:t xml:space="preserve">Analyze each close call report after the identifying information has been removed (see section 5.3), and validate the root causes of the reported incidents. </w:t>
      </w:r>
    </w:p>
    <w:p w:rsidR="005B7F58" w:rsidRPr="00DB6FFF" w:rsidRDefault="00C23B64" w:rsidP="007310E6">
      <w:pPr>
        <w:pStyle w:val="BodyText"/>
        <w:numPr>
          <w:ilvl w:val="0"/>
          <w:numId w:val="27"/>
        </w:numPr>
        <w:rPr>
          <w:rFonts w:ascii="Calibri" w:hAnsi="Calibri" w:cs="Calibri"/>
        </w:rPr>
      </w:pPr>
      <w:r>
        <w:rPr>
          <w:rFonts w:ascii="Calibri" w:hAnsi="Calibri" w:cs="Calibri"/>
        </w:rPr>
        <w:t>P</w:t>
      </w:r>
      <w:r w:rsidR="005B7F58" w:rsidRPr="00DB6FFF">
        <w:rPr>
          <w:rFonts w:ascii="Calibri" w:hAnsi="Calibri" w:cs="Calibri"/>
        </w:rPr>
        <w:t>ropose corrective actions.</w:t>
      </w:r>
    </w:p>
    <w:p w:rsidR="005B7F58" w:rsidRPr="00DB6FFF" w:rsidRDefault="005B7F58" w:rsidP="007310E6">
      <w:pPr>
        <w:pStyle w:val="BodyText"/>
        <w:numPr>
          <w:ilvl w:val="0"/>
          <w:numId w:val="27"/>
        </w:numPr>
        <w:rPr>
          <w:rFonts w:ascii="Calibri" w:hAnsi="Calibri" w:cs="Calibri"/>
        </w:rPr>
      </w:pPr>
      <w:r w:rsidRPr="00DB6FFF">
        <w:rPr>
          <w:rFonts w:ascii="Calibri" w:hAnsi="Calibri" w:cs="Calibri"/>
        </w:rPr>
        <w:t xml:space="preserve">Track the RTA’s follow through on the implementation of corrective actions. </w:t>
      </w:r>
    </w:p>
    <w:p w:rsidR="00607818" w:rsidRPr="006323CF" w:rsidRDefault="005B7F58" w:rsidP="005B7F58">
      <w:pPr>
        <w:pStyle w:val="BodyText"/>
        <w:numPr>
          <w:ilvl w:val="0"/>
          <w:numId w:val="27"/>
        </w:numPr>
        <w:rPr>
          <w:rFonts w:ascii="Calibri" w:hAnsi="Calibri" w:cs="Calibri"/>
          <w:b/>
          <w:bCs/>
          <w:i/>
          <w:iCs/>
        </w:rPr>
      </w:pPr>
      <w:r w:rsidRPr="00DB6FFF">
        <w:rPr>
          <w:rFonts w:ascii="Calibri" w:hAnsi="Calibri" w:cs="Calibri"/>
        </w:rPr>
        <w:t>Track the effectiveness of a</w:t>
      </w:r>
      <w:r w:rsidR="00556012">
        <w:rPr>
          <w:rFonts w:ascii="Calibri" w:hAnsi="Calibri" w:cs="Calibri"/>
        </w:rPr>
        <w:t>n</w:t>
      </w:r>
      <w:r w:rsidRPr="00DB6FFF">
        <w:rPr>
          <w:rFonts w:ascii="Calibri" w:hAnsi="Calibri" w:cs="Calibri"/>
        </w:rPr>
        <w:t xml:space="preserve"> RTA’s implemented corrective actions and their impact on a </w:t>
      </w:r>
      <w:r w:rsidR="00F149DF">
        <w:rPr>
          <w:rFonts w:ascii="Calibri" w:hAnsi="Calibri" w:cs="Calibri"/>
        </w:rPr>
        <w:t>pilot</w:t>
      </w:r>
      <w:r w:rsidRPr="00DB6FFF">
        <w:rPr>
          <w:rFonts w:ascii="Calibri" w:hAnsi="Calibri" w:cs="Calibri"/>
        </w:rPr>
        <w:t xml:space="preserve"> site’s safety.</w:t>
      </w:r>
    </w:p>
    <w:p w:rsidR="006323CF" w:rsidRDefault="005B7F58" w:rsidP="006323CF">
      <w:pPr>
        <w:pStyle w:val="BodyText"/>
        <w:rPr>
          <w:rFonts w:ascii="Calibri" w:hAnsi="Calibri" w:cs="Calibri"/>
        </w:rPr>
      </w:pPr>
      <w:r w:rsidRPr="00DB6FFF">
        <w:rPr>
          <w:rFonts w:ascii="Calibri" w:hAnsi="Calibri" w:cs="Calibri"/>
        </w:rPr>
        <w:t>The PRT will function using, but not be limited to, the following guidelines:</w:t>
      </w:r>
    </w:p>
    <w:p w:rsidR="006323CF" w:rsidRDefault="005B7F58" w:rsidP="006323CF">
      <w:pPr>
        <w:pStyle w:val="BodyText"/>
        <w:numPr>
          <w:ilvl w:val="0"/>
          <w:numId w:val="43"/>
        </w:numPr>
        <w:rPr>
          <w:rFonts w:ascii="Calibri" w:hAnsi="Calibri" w:cs="Calibri"/>
        </w:rPr>
      </w:pPr>
      <w:r w:rsidRPr="00DB6FFF">
        <w:rPr>
          <w:rFonts w:ascii="Calibri" w:hAnsi="Calibri" w:cs="Calibri"/>
        </w:rPr>
        <w:t>The team can conduct business only when a quorum is present. A quorum exists when all designated representatives, or their alternates, are present. The designated representative will name an alternate to act when the designated representative is unable to attend.</w:t>
      </w:r>
    </w:p>
    <w:p w:rsidR="006323CF" w:rsidRDefault="005B7F58" w:rsidP="006323CF">
      <w:pPr>
        <w:pStyle w:val="BodyText"/>
        <w:numPr>
          <w:ilvl w:val="0"/>
          <w:numId w:val="43"/>
        </w:numPr>
        <w:rPr>
          <w:rFonts w:ascii="Calibri" w:hAnsi="Calibri" w:cs="Calibri"/>
        </w:rPr>
      </w:pPr>
      <w:r w:rsidRPr="006323CF">
        <w:rPr>
          <w:rFonts w:ascii="Calibri" w:hAnsi="Calibri" w:cs="Calibri"/>
        </w:rPr>
        <w:t>The primary stakeholders on the PRT are encouraged to consult with their constituents and additional FTA or industry experts for guidance on complex or sensitive matters, where more information is desired to make an informed decision.</w:t>
      </w:r>
    </w:p>
    <w:p w:rsidR="006323CF" w:rsidRDefault="005B7F58" w:rsidP="006323CF">
      <w:pPr>
        <w:pStyle w:val="BodyText"/>
        <w:numPr>
          <w:ilvl w:val="0"/>
          <w:numId w:val="43"/>
        </w:numPr>
        <w:rPr>
          <w:rFonts w:ascii="Calibri" w:hAnsi="Calibri" w:cs="Calibri"/>
        </w:rPr>
      </w:pPr>
      <w:r w:rsidRPr="006323CF">
        <w:rPr>
          <w:rFonts w:ascii="Calibri" w:hAnsi="Calibri" w:cs="Calibri"/>
        </w:rPr>
        <w:t>The PRT will conduct its own root</w:t>
      </w:r>
      <w:r w:rsidR="005E4676" w:rsidRPr="006323CF">
        <w:rPr>
          <w:rFonts w:ascii="Calibri" w:hAnsi="Calibri" w:cs="Calibri"/>
        </w:rPr>
        <w:t>-</w:t>
      </w:r>
      <w:r w:rsidRPr="006323CF">
        <w:rPr>
          <w:rFonts w:ascii="Calibri" w:hAnsi="Calibri" w:cs="Calibri"/>
        </w:rPr>
        <w:t>cause analysis, driven by the risk data (and a preliminary root</w:t>
      </w:r>
      <w:r w:rsidR="005E4676" w:rsidRPr="006323CF">
        <w:rPr>
          <w:rFonts w:ascii="Calibri" w:hAnsi="Calibri" w:cs="Calibri"/>
        </w:rPr>
        <w:t>-</w:t>
      </w:r>
      <w:r w:rsidRPr="006323CF">
        <w:rPr>
          <w:rFonts w:ascii="Calibri" w:hAnsi="Calibri" w:cs="Calibri"/>
        </w:rPr>
        <w:t xml:space="preserve">cause analysis) provided by </w:t>
      </w:r>
      <w:r w:rsidR="001706B1" w:rsidRPr="006323CF">
        <w:rPr>
          <w:rFonts w:ascii="Calibri" w:hAnsi="Calibri" w:cs="Calibri"/>
        </w:rPr>
        <w:t>the third-party agency</w:t>
      </w:r>
      <w:r w:rsidRPr="006323CF">
        <w:rPr>
          <w:rFonts w:ascii="Calibri" w:hAnsi="Calibri" w:cs="Calibri"/>
        </w:rPr>
        <w:t>.</w:t>
      </w:r>
    </w:p>
    <w:p w:rsidR="006323CF" w:rsidRDefault="005B7F58" w:rsidP="006323CF">
      <w:pPr>
        <w:pStyle w:val="BodyText"/>
        <w:numPr>
          <w:ilvl w:val="0"/>
          <w:numId w:val="43"/>
        </w:numPr>
        <w:rPr>
          <w:rFonts w:ascii="Calibri" w:hAnsi="Calibri" w:cs="Calibri"/>
        </w:rPr>
      </w:pPr>
      <w:r w:rsidRPr="006323CF">
        <w:rPr>
          <w:rFonts w:ascii="Calibri" w:hAnsi="Calibri" w:cs="Calibri"/>
        </w:rPr>
        <w:t xml:space="preserve">Each representative is empowered to offer possible sources of risk, error recovery mechanisms, and corrective actions. Diverse perspectives are expected and encouraged. The PRT’s opinions reflect a collaborative decision-making process among all PRT representatives. </w:t>
      </w:r>
    </w:p>
    <w:p w:rsidR="006323CF" w:rsidRDefault="005B7F58" w:rsidP="006323CF">
      <w:pPr>
        <w:pStyle w:val="BodyText"/>
        <w:numPr>
          <w:ilvl w:val="0"/>
          <w:numId w:val="43"/>
        </w:numPr>
        <w:rPr>
          <w:rFonts w:ascii="Calibri" w:hAnsi="Calibri" w:cs="Calibri"/>
        </w:rPr>
      </w:pPr>
      <w:r w:rsidRPr="006323CF">
        <w:rPr>
          <w:rFonts w:ascii="Calibri" w:hAnsi="Calibri" w:cs="Calibri"/>
        </w:rPr>
        <w:t>The PRT makes its decisions using “consensus” when assigning root causes and proposing corrective actions. Consensus means the voluntary agreement of all representatives. It does not require that all members believe that a particular decision is the best one. Instead, all representatives’ positions are given a proper hearing and are addressed, and a decision is one that all can accept.</w:t>
      </w:r>
    </w:p>
    <w:p w:rsidR="006323CF" w:rsidRDefault="005B7F58" w:rsidP="006323CF">
      <w:pPr>
        <w:pStyle w:val="BodyText"/>
        <w:numPr>
          <w:ilvl w:val="0"/>
          <w:numId w:val="43"/>
        </w:numPr>
        <w:rPr>
          <w:rFonts w:ascii="Calibri" w:hAnsi="Calibri" w:cs="Calibri"/>
        </w:rPr>
      </w:pPr>
      <w:r w:rsidRPr="006323CF">
        <w:rPr>
          <w:rFonts w:ascii="Calibri" w:hAnsi="Calibri" w:cs="Calibri"/>
        </w:rPr>
        <w:t xml:space="preserve">The team will protect the confidentiality of the reporting employee, any employee mentioned in the close call report and the RTA for any report they review. The team will not disclose any information that would make it possible to identify the reporting employee(s) mentioned in the close call report, or the RTA.  </w:t>
      </w:r>
    </w:p>
    <w:p w:rsidR="005B7F58" w:rsidRPr="006323CF" w:rsidRDefault="005B7F58" w:rsidP="006323CF">
      <w:pPr>
        <w:pStyle w:val="BodyText"/>
        <w:numPr>
          <w:ilvl w:val="0"/>
          <w:numId w:val="43"/>
        </w:numPr>
        <w:rPr>
          <w:rFonts w:ascii="Calibri" w:hAnsi="Calibri" w:cs="Calibri"/>
        </w:rPr>
      </w:pPr>
      <w:r w:rsidRPr="006323CF">
        <w:rPr>
          <w:rFonts w:ascii="Calibri" w:hAnsi="Calibri" w:cs="Calibri"/>
        </w:rPr>
        <w:t>The PRT will meet in a mutually convenient central location.</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72" w:name="_Toc316336540"/>
      <w:bookmarkStart w:id="173" w:name="_Toc317097344"/>
      <w:bookmarkStart w:id="174" w:name="_Toc317106186"/>
      <w:r w:rsidRPr="00DB6FFF">
        <w:rPr>
          <w:rFonts w:ascii="Calibri" w:hAnsi="Calibri" w:cs="Calibri"/>
        </w:rPr>
        <w:lastRenderedPageBreak/>
        <w:t>Modifications</w:t>
      </w:r>
      <w:bookmarkEnd w:id="171"/>
      <w:bookmarkEnd w:id="172"/>
      <w:bookmarkEnd w:id="173"/>
      <w:bookmarkEnd w:id="174"/>
    </w:p>
    <w:p w:rsidR="005B7F58" w:rsidRPr="00DB6FFF" w:rsidRDefault="005B7F58" w:rsidP="005B7F58">
      <w:pPr>
        <w:pStyle w:val="PlainText"/>
        <w:rPr>
          <w:rFonts w:ascii="Calibri" w:hAnsi="Calibri" w:cs="Calibri"/>
          <w:sz w:val="24"/>
          <w:szCs w:val="24"/>
        </w:rPr>
      </w:pPr>
      <w:r w:rsidRPr="00DB6FFF">
        <w:rPr>
          <w:rFonts w:ascii="Calibri" w:hAnsi="Calibri" w:cs="Calibri"/>
          <w:sz w:val="24"/>
          <w:szCs w:val="24"/>
        </w:rPr>
        <w:t xml:space="preserve">Modifications to this MOU may be proposed at any time during the period of performance by any party to the MOU, and shall become effective upon written approval by all parties. </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75" w:name="_Toc75579437"/>
      <w:bookmarkStart w:id="176" w:name="_Toc316336541"/>
      <w:bookmarkStart w:id="177" w:name="_Toc317097345"/>
      <w:bookmarkStart w:id="178" w:name="_Toc317106187"/>
      <w:r w:rsidRPr="00DB6FFF">
        <w:rPr>
          <w:rFonts w:ascii="Calibri" w:hAnsi="Calibri" w:cs="Calibri"/>
        </w:rPr>
        <w:t>Project Duration</w:t>
      </w:r>
      <w:bookmarkEnd w:id="175"/>
      <w:bookmarkEnd w:id="176"/>
      <w:bookmarkEnd w:id="177"/>
      <w:bookmarkEnd w:id="178"/>
    </w:p>
    <w:p w:rsidR="005B7F58" w:rsidRPr="00DB6FFF" w:rsidRDefault="005B7F58" w:rsidP="005B7F58">
      <w:pPr>
        <w:pStyle w:val="BodyText"/>
        <w:rPr>
          <w:rFonts w:ascii="Calibri" w:hAnsi="Calibri" w:cs="Calibri"/>
        </w:rPr>
      </w:pPr>
      <w:r w:rsidRPr="00DB6FFF">
        <w:rPr>
          <w:rFonts w:ascii="Calibri" w:hAnsi="Calibri" w:cs="Calibri"/>
        </w:rPr>
        <w:t xml:space="preserve">This MOU is in effect for three (3) years from the date of execution, and may be renewed by written agreement of the participants. Participants in the project may terminate their participation in the project; the amount of advance written notice they must provide will be set forth in the implementing MOUs.  </w:t>
      </w:r>
    </w:p>
    <w:p w:rsidR="005B7F58" w:rsidRPr="00DB6FFF" w:rsidRDefault="005B7F58" w:rsidP="005B7F58">
      <w:pPr>
        <w:pStyle w:val="BodyText"/>
        <w:rPr>
          <w:rFonts w:ascii="Calibri" w:hAnsi="Calibri" w:cs="Calibri"/>
        </w:rPr>
      </w:pPr>
      <w:r w:rsidRPr="00DB6FFF">
        <w:rPr>
          <w:rFonts w:ascii="Calibri" w:hAnsi="Calibri" w:cs="Calibri"/>
        </w:rPr>
        <w:t xml:space="preserve">Termination or modification of this agreement or an implementing MOU should not adversely affect anyone who acted in reliance on the terms of an implementing MOU in effect at the time of that action; i.e., when a particular project is terminated, all reports and investigations that were in progress should be handled under the provisions of the program until they are completed. </w:t>
      </w:r>
      <w:r w:rsidR="007B29CB">
        <w:rPr>
          <w:rFonts w:ascii="Calibri" w:hAnsi="Calibri" w:cs="Calibri"/>
        </w:rPr>
        <w:t>If significant disputes arise between any of the signatory parties regarding the implementation of</w:t>
      </w:r>
      <w:r w:rsidRPr="00DB6FFF">
        <w:rPr>
          <w:rFonts w:ascii="Calibri" w:hAnsi="Calibri" w:cs="Calibri"/>
        </w:rPr>
        <w:t xml:space="preserve"> the terms of the MOU </w:t>
      </w:r>
      <w:r w:rsidR="00B2235E">
        <w:rPr>
          <w:rFonts w:ascii="Calibri" w:hAnsi="Calibri" w:cs="Calibri"/>
        </w:rPr>
        <w:t xml:space="preserve">these </w:t>
      </w:r>
      <w:r w:rsidR="007B29CB">
        <w:rPr>
          <w:rFonts w:ascii="Calibri" w:hAnsi="Calibri" w:cs="Calibri"/>
        </w:rPr>
        <w:t>will be settled through a resolution process with FTA</w:t>
      </w:r>
      <w:r w:rsidRPr="00DB6FFF">
        <w:rPr>
          <w:rFonts w:ascii="Calibri" w:hAnsi="Calibri" w:cs="Calibri"/>
        </w:rPr>
        <w:t>. In addition, as described in Section 12.3, failure of a</w:t>
      </w:r>
      <w:r w:rsidR="00556012">
        <w:rPr>
          <w:rFonts w:ascii="Calibri" w:hAnsi="Calibri" w:cs="Calibri"/>
        </w:rPr>
        <w:t>n</w:t>
      </w:r>
      <w:r w:rsidRPr="00DB6FFF">
        <w:rPr>
          <w:rFonts w:ascii="Calibri" w:hAnsi="Calibri" w:cs="Calibri"/>
        </w:rPr>
        <w:t xml:space="preserve"> RTA to </w:t>
      </w:r>
      <w:r w:rsidR="007B29CB">
        <w:rPr>
          <w:rFonts w:ascii="Calibri" w:hAnsi="Calibri" w:cs="Calibri"/>
        </w:rPr>
        <w:t xml:space="preserve">reasonably </w:t>
      </w:r>
      <w:r w:rsidRPr="00DB6FFF">
        <w:rPr>
          <w:rFonts w:ascii="Calibri" w:hAnsi="Calibri" w:cs="Calibri"/>
        </w:rPr>
        <w:t xml:space="preserve">follow through with corrective action acceptable to the PRT to resolve any safety deficiencies that have been identified under the project within a reasonable time frame </w:t>
      </w:r>
      <w:r w:rsidR="007B29CB">
        <w:rPr>
          <w:rFonts w:ascii="Calibri" w:hAnsi="Calibri" w:cs="Calibri"/>
        </w:rPr>
        <w:t>could</w:t>
      </w:r>
      <w:r w:rsidRPr="00DB6FFF">
        <w:rPr>
          <w:rFonts w:ascii="Calibri" w:hAnsi="Calibri" w:cs="Calibri"/>
        </w:rPr>
        <w:t xml:space="preserve"> result in termination of the RTA’s implementing MOU and, if necessary, the subsequent development of safety and enforcement tools by FTA in its transit agency safety oversight role, as noted in Section 3. </w:t>
      </w:r>
    </w:p>
    <w:p w:rsidR="005B7F58" w:rsidRPr="00DB6FFF" w:rsidRDefault="005B7F58" w:rsidP="005B7F58">
      <w:pPr>
        <w:pStyle w:val="BodyText"/>
        <w:rPr>
          <w:rFonts w:ascii="Calibri" w:hAnsi="Calibri" w:cs="Calibri"/>
        </w:rPr>
      </w:pPr>
      <w:r w:rsidRPr="00DB6FFF">
        <w:rPr>
          <w:rFonts w:ascii="Calibri" w:hAnsi="Calibri" w:cs="Calibri"/>
        </w:rPr>
        <w:t xml:space="preserve">This is a </w:t>
      </w:r>
      <w:r w:rsidR="00F149DF">
        <w:rPr>
          <w:rFonts w:ascii="Calibri" w:hAnsi="Calibri" w:cs="Calibri"/>
        </w:rPr>
        <w:t>pilot</w:t>
      </w:r>
      <w:r w:rsidRPr="00DB6FFF">
        <w:rPr>
          <w:rFonts w:ascii="Calibri" w:hAnsi="Calibri" w:cs="Calibri"/>
        </w:rPr>
        <w:t xml:space="preserve"> program. If the program is determined to be successful after a comprehensive review and evaluation, the parties intend that it will be the basis for a continuing program, although not necessarily funded by FTA. </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79" w:name="_Toc75579438"/>
      <w:bookmarkStart w:id="180" w:name="_Toc316336542"/>
      <w:bookmarkStart w:id="181" w:name="_Toc317097346"/>
      <w:bookmarkStart w:id="182" w:name="_Toc317106188"/>
      <w:r w:rsidRPr="00DB6FFF">
        <w:rPr>
          <w:rFonts w:ascii="Calibri" w:hAnsi="Calibri" w:cs="Calibri"/>
        </w:rPr>
        <w:t>Record Keeping</w:t>
      </w:r>
      <w:bookmarkEnd w:id="179"/>
      <w:bookmarkEnd w:id="180"/>
      <w:bookmarkEnd w:id="181"/>
      <w:bookmarkEnd w:id="182"/>
      <w:r w:rsidRPr="00DB6FFF">
        <w:rPr>
          <w:rFonts w:ascii="Calibri" w:hAnsi="Calibri" w:cs="Calibri"/>
        </w:rPr>
        <w:t xml:space="preserve"> </w:t>
      </w:r>
    </w:p>
    <w:p w:rsidR="005B7F58" w:rsidRPr="00DB6FFF" w:rsidRDefault="005B7F58" w:rsidP="005B7F58">
      <w:pPr>
        <w:pStyle w:val="BodyText"/>
        <w:rPr>
          <w:rFonts w:ascii="Calibri" w:hAnsi="Calibri" w:cs="Calibri"/>
        </w:rPr>
      </w:pPr>
      <w:r w:rsidRPr="00DB6FFF">
        <w:rPr>
          <w:rFonts w:ascii="Calibri" w:hAnsi="Calibri" w:cs="Calibri"/>
        </w:rPr>
        <w:t>All records and documents relating to this program should be appropriately kept in a manner that ensures</w:t>
      </w:r>
      <w:r w:rsidR="00AB3523">
        <w:rPr>
          <w:rFonts w:ascii="Calibri" w:hAnsi="Calibri" w:cs="Calibri"/>
        </w:rPr>
        <w:t xml:space="preserve"> compliance with applicable </w:t>
      </w:r>
      <w:r w:rsidRPr="00DB6FFF">
        <w:rPr>
          <w:rFonts w:ascii="Calibri" w:hAnsi="Calibri" w:cs="Calibri"/>
        </w:rPr>
        <w:t>third</w:t>
      </w:r>
      <w:r w:rsidR="005E4676">
        <w:rPr>
          <w:rFonts w:ascii="Calibri" w:hAnsi="Calibri" w:cs="Calibri"/>
        </w:rPr>
        <w:t>-</w:t>
      </w:r>
      <w:r w:rsidRPr="00DB6FFF">
        <w:rPr>
          <w:rFonts w:ascii="Calibri" w:hAnsi="Calibri" w:cs="Calibri"/>
        </w:rPr>
        <w:t>party and CIPSEA regulations, if applicable.</w:t>
      </w:r>
    </w:p>
    <w:p w:rsidR="005B7F58" w:rsidRPr="00DB6FFF" w:rsidRDefault="005B7F58" w:rsidP="007310E6">
      <w:pPr>
        <w:pStyle w:val="Heading1"/>
        <w:keepLines w:val="0"/>
        <w:numPr>
          <w:ilvl w:val="0"/>
          <w:numId w:val="14"/>
        </w:numPr>
        <w:spacing w:before="360" w:after="240" w:line="240" w:lineRule="auto"/>
        <w:rPr>
          <w:rFonts w:ascii="Calibri" w:hAnsi="Calibri" w:cs="Calibri"/>
        </w:rPr>
      </w:pPr>
      <w:bookmarkStart w:id="183" w:name="_Toc75579439"/>
      <w:bookmarkStart w:id="184" w:name="_Toc316336543"/>
      <w:bookmarkStart w:id="185" w:name="_Toc317097347"/>
      <w:bookmarkStart w:id="186" w:name="_Toc317106189"/>
      <w:r w:rsidRPr="00DB6FFF">
        <w:rPr>
          <w:rFonts w:ascii="Calibri" w:hAnsi="Calibri" w:cs="Calibri"/>
        </w:rPr>
        <w:t>Funding</w:t>
      </w:r>
      <w:bookmarkEnd w:id="183"/>
      <w:bookmarkEnd w:id="184"/>
      <w:bookmarkEnd w:id="185"/>
      <w:bookmarkEnd w:id="186"/>
    </w:p>
    <w:p w:rsidR="005B7F58" w:rsidRPr="00DB6FFF" w:rsidRDefault="005B7F58" w:rsidP="005B7F58">
      <w:pPr>
        <w:pStyle w:val="BodyText"/>
        <w:rPr>
          <w:rFonts w:ascii="Calibri" w:hAnsi="Calibri" w:cs="Calibri"/>
        </w:rPr>
      </w:pPr>
      <w:r w:rsidRPr="00DB6FFF">
        <w:rPr>
          <w:rFonts w:ascii="Calibri" w:hAnsi="Calibri" w:cs="Calibri"/>
        </w:rPr>
        <w:t xml:space="preserve">Continuation of work under the Close Call </w:t>
      </w:r>
      <w:r w:rsidR="0036201E">
        <w:rPr>
          <w:rFonts w:ascii="Calibri" w:hAnsi="Calibri" w:cs="Calibri"/>
        </w:rPr>
        <w:t xml:space="preserve">Safety Reporting </w:t>
      </w:r>
      <w:r w:rsidR="00F149DF">
        <w:rPr>
          <w:rFonts w:ascii="Calibri" w:hAnsi="Calibri" w:cs="Calibri"/>
        </w:rPr>
        <w:t>Pilot</w:t>
      </w:r>
      <w:r w:rsidRPr="00DB6FFF">
        <w:rPr>
          <w:rFonts w:ascii="Calibri" w:hAnsi="Calibri" w:cs="Calibri"/>
        </w:rPr>
        <w:t xml:space="preserve"> Project is contingent on the future availability of FTA funds.</w:t>
      </w:r>
      <w:bookmarkStart w:id="187" w:name="_Toc75579440"/>
    </w:p>
    <w:p w:rsidR="005B7F58" w:rsidRPr="00DB6FFF" w:rsidRDefault="005B7F58" w:rsidP="007310E6">
      <w:pPr>
        <w:pStyle w:val="Heading1"/>
        <w:numPr>
          <w:ilvl w:val="0"/>
          <w:numId w:val="14"/>
        </w:numPr>
        <w:spacing w:before="360" w:after="240" w:line="240" w:lineRule="auto"/>
        <w:rPr>
          <w:rFonts w:ascii="Calibri" w:hAnsi="Calibri" w:cs="Calibri"/>
        </w:rPr>
      </w:pPr>
      <w:bookmarkStart w:id="188" w:name="_Toc316336544"/>
      <w:bookmarkStart w:id="189" w:name="_Toc317097348"/>
      <w:bookmarkStart w:id="190" w:name="_Toc317106190"/>
      <w:r w:rsidRPr="00DB6FFF">
        <w:rPr>
          <w:rFonts w:ascii="Calibri" w:hAnsi="Calibri" w:cs="Calibri"/>
        </w:rPr>
        <w:lastRenderedPageBreak/>
        <w:t>Responsible Officials</w:t>
      </w:r>
      <w:bookmarkEnd w:id="188"/>
      <w:bookmarkEnd w:id="189"/>
      <w:bookmarkEnd w:id="190"/>
      <w:r w:rsidRPr="00DB6FFF">
        <w:rPr>
          <w:rFonts w:ascii="Calibri" w:hAnsi="Calibri" w:cs="Calibri"/>
        </w:rPr>
        <w:t xml:space="preserve"> </w:t>
      </w:r>
    </w:p>
    <w:p w:rsidR="005B7F58" w:rsidRPr="00DB6FFF" w:rsidRDefault="005B7F58" w:rsidP="005B7F58">
      <w:pPr>
        <w:pStyle w:val="BodyText"/>
        <w:keepNext/>
        <w:keepLines/>
        <w:rPr>
          <w:rFonts w:ascii="Calibri" w:hAnsi="Calibri" w:cs="Calibri"/>
        </w:rPr>
      </w:pPr>
      <w:r w:rsidRPr="00DB6FFF">
        <w:rPr>
          <w:rFonts w:ascii="Calibri" w:hAnsi="Calibri" w:cs="Calibri"/>
        </w:rPr>
        <w:t xml:space="preserve">The officials responsible for </w:t>
      </w:r>
      <w:r w:rsidR="00D51B6A">
        <w:rPr>
          <w:rFonts w:ascii="Calibri" w:hAnsi="Calibri" w:cs="Calibri"/>
        </w:rPr>
        <w:t xml:space="preserve">signing </w:t>
      </w:r>
      <w:r w:rsidRPr="00DB6FFF">
        <w:rPr>
          <w:rFonts w:ascii="Calibri" w:hAnsi="Calibri" w:cs="Calibri"/>
        </w:rPr>
        <w:t>this MOU are the FTA Administrator, the Third Party Director</w:t>
      </w:r>
      <w:r w:rsidR="005E4676">
        <w:rPr>
          <w:rFonts w:ascii="Calibri" w:hAnsi="Calibri" w:cs="Calibri"/>
        </w:rPr>
        <w:t>,</w:t>
      </w:r>
      <w:r w:rsidRPr="00DB6FFF">
        <w:rPr>
          <w:rFonts w:ascii="Calibri" w:hAnsi="Calibri" w:cs="Calibri"/>
        </w:rPr>
        <w:t xml:space="preserve"> and the RTA Chief </w:t>
      </w:r>
      <w:r w:rsidR="001706B1">
        <w:rPr>
          <w:rFonts w:ascii="Calibri" w:hAnsi="Calibri" w:cs="Calibri"/>
        </w:rPr>
        <w:t>Executive</w:t>
      </w:r>
      <w:r w:rsidR="001706B1" w:rsidRPr="00DB6FFF">
        <w:rPr>
          <w:rFonts w:ascii="Calibri" w:hAnsi="Calibri" w:cs="Calibri"/>
        </w:rPr>
        <w:t xml:space="preserve"> </w:t>
      </w:r>
      <w:r w:rsidR="0048322D">
        <w:rPr>
          <w:rFonts w:ascii="Calibri" w:hAnsi="Calibri" w:cs="Calibri"/>
        </w:rPr>
        <w:t>Officer</w:t>
      </w:r>
      <w:r w:rsidRPr="00DB6FFF">
        <w:rPr>
          <w:rFonts w:ascii="Calibri" w:hAnsi="Calibri" w:cs="Calibri"/>
        </w:rPr>
        <w:t>.</w:t>
      </w:r>
    </w:p>
    <w:p w:rsidR="005B7F58" w:rsidRPr="00DB6FFF" w:rsidRDefault="005B7F58" w:rsidP="005B7F58">
      <w:pPr>
        <w:pStyle w:val="body1"/>
        <w:spacing w:before="60" w:after="0"/>
        <w:ind w:left="0"/>
        <w:rPr>
          <w:rFonts w:ascii="Calibri" w:hAnsi="Calibri" w:cs="Calibri"/>
        </w:rPr>
      </w:pPr>
      <w:r w:rsidRPr="00DB6FFF">
        <w:rPr>
          <w:rFonts w:ascii="Calibri" w:hAnsi="Calibri" w:cs="Calibri"/>
        </w:rPr>
        <w:t xml:space="preserve">When top leadership changes in any of the participating organizations, it is expected that outgoing managers should ensure that their successors understand the value of this program. Incoming leaders would need to co-sign this document to agree to its intent. </w:t>
      </w:r>
      <w:bookmarkEnd w:id="187"/>
    </w:p>
    <w:p w:rsidR="005B7F58" w:rsidRPr="00DB6FFF" w:rsidRDefault="00BA6F7D" w:rsidP="0036201E">
      <w:pPr>
        <w:pStyle w:val="Heading1"/>
        <w:keepLines w:val="0"/>
        <w:spacing w:before="360" w:after="240" w:line="240" w:lineRule="auto"/>
        <w:rPr>
          <w:rFonts w:ascii="Calibri" w:hAnsi="Calibri" w:cs="Calibri"/>
        </w:rPr>
      </w:pPr>
      <w:bookmarkStart w:id="191" w:name="_Toc75579441"/>
      <w:bookmarkStart w:id="192" w:name="_Toc316336545"/>
      <w:bookmarkStart w:id="193" w:name="_Toc317097349"/>
      <w:bookmarkStart w:id="194" w:name="_Toc317106191"/>
      <w:r>
        <w:rPr>
          <w:rFonts w:ascii="Calibri" w:hAnsi="Calibri" w:cs="Calibri"/>
        </w:rPr>
        <w:t>Cooperating Organization</w:t>
      </w:r>
      <w:r w:rsidR="005B7F58" w:rsidRPr="00DB6FFF">
        <w:rPr>
          <w:rFonts w:ascii="Calibri" w:hAnsi="Calibri" w:cs="Calibri"/>
        </w:rPr>
        <w:t xml:space="preserve"> Signatures</w:t>
      </w:r>
      <w:bookmarkEnd w:id="191"/>
      <w:bookmarkEnd w:id="192"/>
      <w:bookmarkEnd w:id="193"/>
      <w:bookmarkEnd w:id="194"/>
      <w:r w:rsidR="005B7F58" w:rsidRPr="00DB6FFF">
        <w:rPr>
          <w:rFonts w:ascii="Calibri" w:hAnsi="Calibri" w:cs="Calibri"/>
        </w:rPr>
        <w:t xml:space="preserve"> </w:t>
      </w:r>
    </w:p>
    <w:p w:rsidR="0046799A" w:rsidRPr="00947533" w:rsidRDefault="00BA6F7D" w:rsidP="00947533">
      <w:pPr>
        <w:pStyle w:val="Heading1"/>
        <w:rPr>
          <w:rFonts w:cs="Calibri"/>
          <w:sz w:val="24"/>
          <w:szCs w:val="24"/>
        </w:rPr>
        <w:sectPr w:rsidR="0046799A" w:rsidRPr="00947533" w:rsidSect="00AE24AF">
          <w:footerReference w:type="default" r:id="rId30"/>
          <w:pgSz w:w="12240" w:h="15840" w:code="1"/>
          <w:pgMar w:top="1440" w:right="1440" w:bottom="1440" w:left="1440" w:header="720" w:footer="720" w:gutter="0"/>
          <w:pgNumType w:start="1"/>
          <w:cols w:space="720"/>
          <w:docGrid w:linePitch="360"/>
        </w:sectPr>
      </w:pPr>
      <w:r w:rsidRPr="00947533">
        <w:rPr>
          <w:rFonts w:ascii="Calibri" w:hAnsi="Calibri" w:cs="Calibri"/>
          <w:i/>
          <w:color w:val="auto"/>
          <w:sz w:val="24"/>
          <w:szCs w:val="24"/>
        </w:rPr>
        <w:t>[This section is where the cooperating organiz</w:t>
      </w:r>
      <w:r w:rsidRPr="00BA6F7D">
        <w:rPr>
          <w:rFonts w:ascii="Calibri" w:hAnsi="Calibri" w:cs="Calibri"/>
          <w:i/>
          <w:color w:val="auto"/>
          <w:sz w:val="24"/>
          <w:szCs w:val="24"/>
        </w:rPr>
        <w:t xml:space="preserve">ations indicate their support </w:t>
      </w:r>
      <w:r>
        <w:rPr>
          <w:rFonts w:ascii="Calibri" w:hAnsi="Calibri" w:cs="Calibri"/>
          <w:i/>
          <w:color w:val="auto"/>
          <w:sz w:val="24"/>
          <w:szCs w:val="24"/>
        </w:rPr>
        <w:t>for</w:t>
      </w:r>
      <w:r w:rsidRPr="00947533">
        <w:rPr>
          <w:rFonts w:ascii="Calibri" w:hAnsi="Calibri" w:cs="Calibri"/>
          <w:i/>
          <w:color w:val="auto"/>
          <w:sz w:val="24"/>
          <w:szCs w:val="24"/>
        </w:rPr>
        <w:t xml:space="preserve"> the implementing MOU</w:t>
      </w:r>
      <w:r w:rsidR="004333D4">
        <w:rPr>
          <w:rFonts w:ascii="Calibri" w:hAnsi="Calibri" w:cs="Calibri"/>
          <w:i/>
          <w:color w:val="auto"/>
          <w:sz w:val="24"/>
          <w:szCs w:val="24"/>
        </w:rPr>
        <w:t>,</w:t>
      </w:r>
      <w:r w:rsidRPr="00947533">
        <w:rPr>
          <w:rFonts w:ascii="Calibri" w:hAnsi="Calibri" w:cs="Calibri"/>
          <w:i/>
          <w:color w:val="auto"/>
          <w:sz w:val="24"/>
          <w:szCs w:val="24"/>
        </w:rPr>
        <w:t xml:space="preserve"> and sign the document as a showing of good faith.]</w:t>
      </w:r>
    </w:p>
    <w:p w:rsidR="0046799A" w:rsidRDefault="0046799A" w:rsidP="00947533">
      <w:pPr>
        <w:pStyle w:val="Heading1"/>
      </w:pPr>
      <w:r>
        <w:lastRenderedPageBreak/>
        <w:t>Appendix C</w:t>
      </w:r>
      <w:r w:rsidRPr="00DB6FFF">
        <w:t xml:space="preserve">: </w:t>
      </w:r>
      <w:r>
        <w:t>Detailed Recommendations for Pilot Program Evaluation</w:t>
      </w:r>
    </w:p>
    <w:p w:rsidR="0046799A" w:rsidRDefault="0046799A" w:rsidP="0046799A"/>
    <w:p w:rsidR="0046799A" w:rsidRDefault="0046799A" w:rsidP="0046799A">
      <w:r w:rsidRPr="004A48BE">
        <w:t xml:space="preserve">The </w:t>
      </w:r>
      <w:r>
        <w:t xml:space="preserve">suggested </w:t>
      </w:r>
      <w:r w:rsidR="008D7209">
        <w:t>close call</w:t>
      </w:r>
      <w:r>
        <w:t xml:space="preserve"> </w:t>
      </w:r>
      <w:r w:rsidR="00046A8D">
        <w:t xml:space="preserve">safety </w:t>
      </w:r>
      <w:r>
        <w:t xml:space="preserve">reporting </w:t>
      </w:r>
      <w:r w:rsidRPr="004A48BE">
        <w:t>pilot program</w:t>
      </w:r>
      <w:r>
        <w:t xml:space="preserve"> should be evaluated for two primary reasons:</w:t>
      </w:r>
    </w:p>
    <w:p w:rsidR="0046799A" w:rsidRDefault="0046799A" w:rsidP="006323CF">
      <w:pPr>
        <w:numPr>
          <w:ilvl w:val="0"/>
          <w:numId w:val="32"/>
        </w:numPr>
      </w:pPr>
      <w:r>
        <w:t>To ensure that the pilot program is successful in producing value to the safety of rail transit systems; and</w:t>
      </w:r>
    </w:p>
    <w:p w:rsidR="0046799A" w:rsidRDefault="0046799A" w:rsidP="006323CF">
      <w:pPr>
        <w:numPr>
          <w:ilvl w:val="0"/>
          <w:numId w:val="32"/>
        </w:numPr>
      </w:pPr>
      <w:r>
        <w:t xml:space="preserve">To identify areas of needed improvement and resources for implementation beyond the pilot sites. </w:t>
      </w:r>
    </w:p>
    <w:p w:rsidR="0046799A" w:rsidRDefault="0046799A" w:rsidP="0046799A">
      <w:r>
        <w:t xml:space="preserve">The evaluation </w:t>
      </w:r>
      <w:r w:rsidR="00660E3F">
        <w:t xml:space="preserve">primarily should </w:t>
      </w:r>
      <w:r>
        <w:t>determine if the pilot was successful in its goal to produce hazard identifications that otherwise would not have been identified and mitigated. In this regard, the working group makes the following detailed recommendations:</w:t>
      </w:r>
    </w:p>
    <w:p w:rsidR="00AB55BA" w:rsidRDefault="00AB55BA" w:rsidP="00947533">
      <w:pPr>
        <w:spacing w:after="0"/>
        <w:rPr>
          <w:b/>
          <w:u w:val="single"/>
        </w:rPr>
      </w:pPr>
      <w:r w:rsidRPr="00947533">
        <w:rPr>
          <w:b/>
          <w:u w:val="single"/>
        </w:rPr>
        <w:t>Develop a Logic M</w:t>
      </w:r>
      <w:r w:rsidR="0046799A" w:rsidRPr="00947533">
        <w:rPr>
          <w:b/>
          <w:u w:val="single"/>
        </w:rPr>
        <w:t>odel</w:t>
      </w:r>
    </w:p>
    <w:p w:rsidR="0046799A" w:rsidRDefault="0046799A" w:rsidP="00947533">
      <w:pPr>
        <w:spacing w:after="240"/>
      </w:pPr>
      <w:r>
        <w:t>Consistent with traditional program evaluations, a logic model illustrate</w:t>
      </w:r>
      <w:r w:rsidR="005E4676">
        <w:t>s</w:t>
      </w:r>
      <w:r>
        <w:t xml:space="preserve"> the program theory or how the program is intended to work. It provide</w:t>
      </w:r>
      <w:r w:rsidR="005E4676">
        <w:t>s</w:t>
      </w:r>
      <w:r>
        <w:t xml:space="preserve"> a visualization of how different components and resources are intended to function, and thus </w:t>
      </w:r>
      <w:r w:rsidR="005E4676">
        <w:t xml:space="preserve">serves as </w:t>
      </w:r>
      <w:r>
        <w:t>a helpful diagnostic and demonstration tool.</w:t>
      </w:r>
      <w:r>
        <w:rPr>
          <w:rStyle w:val="FootnoteReference"/>
          <w:rFonts w:eastAsia="Calibri"/>
        </w:rPr>
        <w:footnoteReference w:id="11"/>
      </w:r>
    </w:p>
    <w:p w:rsidR="00AB55BA" w:rsidRDefault="00AB55BA" w:rsidP="00947533">
      <w:pPr>
        <w:spacing w:after="0"/>
      </w:pPr>
      <w:r w:rsidRPr="00947533">
        <w:rPr>
          <w:b/>
          <w:u w:val="single"/>
        </w:rPr>
        <w:t>Document Program I</w:t>
      </w:r>
      <w:r w:rsidR="0046799A" w:rsidRPr="00947533">
        <w:rPr>
          <w:b/>
          <w:u w:val="single"/>
        </w:rPr>
        <w:t>nputs</w:t>
      </w:r>
    </w:p>
    <w:p w:rsidR="0046799A" w:rsidRPr="007A4680" w:rsidRDefault="0046799A" w:rsidP="0046799A">
      <w:pPr>
        <w:rPr>
          <w:b/>
        </w:rPr>
      </w:pPr>
      <w:r>
        <w:t xml:space="preserve">It will be important to know what resources were available and successfully used. The information would be </w:t>
      </w:r>
      <w:r w:rsidR="005E4676">
        <w:t xml:space="preserve">useful </w:t>
      </w:r>
      <w:r>
        <w:t>for rolling the program out beyond the pilot projects, and in identifying areas where extra resources might be advised.</w:t>
      </w:r>
    </w:p>
    <w:p w:rsidR="0046799A" w:rsidRPr="007A4680" w:rsidRDefault="0046799A" w:rsidP="006323CF">
      <w:pPr>
        <w:numPr>
          <w:ilvl w:val="0"/>
          <w:numId w:val="35"/>
        </w:numPr>
      </w:pPr>
      <w:r w:rsidRPr="007A4680">
        <w:t>Management, labor, regulator</w:t>
      </w:r>
      <w:r>
        <w:t xml:space="preserve">s: </w:t>
      </w:r>
      <w:r w:rsidRPr="007A4680">
        <w:t xml:space="preserve"> </w:t>
      </w:r>
      <w:r>
        <w:t xml:space="preserve">dedicated time and </w:t>
      </w:r>
      <w:r w:rsidRPr="007A4680">
        <w:t>participation.</w:t>
      </w:r>
    </w:p>
    <w:p w:rsidR="0046799A" w:rsidRPr="007A4680" w:rsidRDefault="0046799A" w:rsidP="006323CF">
      <w:pPr>
        <w:numPr>
          <w:ilvl w:val="0"/>
          <w:numId w:val="35"/>
        </w:numPr>
      </w:pPr>
      <w:r w:rsidRPr="007A4680">
        <w:t>Funding.</w:t>
      </w:r>
    </w:p>
    <w:p w:rsidR="0046799A" w:rsidRPr="007A4680" w:rsidRDefault="0046799A" w:rsidP="006323CF">
      <w:pPr>
        <w:numPr>
          <w:ilvl w:val="0"/>
          <w:numId w:val="35"/>
        </w:numPr>
      </w:pPr>
      <w:r w:rsidRPr="007A4680">
        <w:t>Workplan.</w:t>
      </w:r>
    </w:p>
    <w:p w:rsidR="0046799A" w:rsidRPr="007A4680" w:rsidRDefault="0046799A" w:rsidP="006323CF">
      <w:pPr>
        <w:numPr>
          <w:ilvl w:val="0"/>
          <w:numId w:val="35"/>
        </w:numPr>
      </w:pPr>
      <w:r w:rsidRPr="007A4680">
        <w:t>Confidentiality and data collection mechanism/entity.</w:t>
      </w:r>
    </w:p>
    <w:p w:rsidR="0046799A" w:rsidRDefault="0046799A" w:rsidP="006323CF">
      <w:pPr>
        <w:numPr>
          <w:ilvl w:val="0"/>
          <w:numId w:val="35"/>
        </w:numPr>
      </w:pPr>
      <w:r w:rsidRPr="007A4680">
        <w:t>Report review team.</w:t>
      </w:r>
    </w:p>
    <w:p w:rsidR="0046799A" w:rsidRDefault="0046799A" w:rsidP="006323CF">
      <w:pPr>
        <w:numPr>
          <w:ilvl w:val="0"/>
          <w:numId w:val="35"/>
        </w:numPr>
      </w:pPr>
      <w:r>
        <w:t>Program evaluation tasks and resources.</w:t>
      </w:r>
    </w:p>
    <w:p w:rsidR="0046799A" w:rsidRPr="007A4680" w:rsidRDefault="0046799A" w:rsidP="006323CF">
      <w:pPr>
        <w:numPr>
          <w:ilvl w:val="0"/>
          <w:numId w:val="35"/>
        </w:numPr>
      </w:pPr>
      <w:r>
        <w:t>Initial conditions at the beginning of each pilot project, including labor relations, safety performance, employee involvement and engagement in safety, and others.</w:t>
      </w:r>
    </w:p>
    <w:p w:rsidR="0046799A" w:rsidRPr="007A4680" w:rsidRDefault="00AB55BA" w:rsidP="00947533">
      <w:pPr>
        <w:spacing w:after="0"/>
        <w:rPr>
          <w:b/>
        </w:rPr>
      </w:pPr>
      <w:r w:rsidRPr="00947533">
        <w:rPr>
          <w:b/>
          <w:u w:val="single"/>
        </w:rPr>
        <w:lastRenderedPageBreak/>
        <w:t>Document Program O</w:t>
      </w:r>
      <w:r w:rsidR="0046799A" w:rsidRPr="00947533">
        <w:rPr>
          <w:b/>
          <w:u w:val="single"/>
        </w:rPr>
        <w:t>utputs:</w:t>
      </w:r>
      <w:r w:rsidR="0046799A">
        <w:rPr>
          <w:b/>
        </w:rPr>
        <w:t xml:space="preserve"> I</w:t>
      </w:r>
      <w:r w:rsidR="0046799A" w:rsidRPr="007A4680">
        <w:rPr>
          <w:b/>
        </w:rPr>
        <w:t>mplementation</w:t>
      </w:r>
      <w:r>
        <w:rPr>
          <w:b/>
        </w:rPr>
        <w:t xml:space="preserve"> activities, tasks, b</w:t>
      </w:r>
      <w:r w:rsidR="0046799A">
        <w:rPr>
          <w:b/>
        </w:rPr>
        <w:t xml:space="preserve">enchmarks, and </w:t>
      </w:r>
      <w:r>
        <w:rPr>
          <w:b/>
        </w:rPr>
        <w:t>i</w:t>
      </w:r>
      <w:r w:rsidR="0046799A" w:rsidRPr="007A4680">
        <w:rPr>
          <w:b/>
        </w:rPr>
        <w:t>ndicators</w:t>
      </w:r>
      <w:r w:rsidR="0046799A" w:rsidRPr="00ED29B7">
        <w:t xml:space="preserve"> </w:t>
      </w:r>
      <w:r w:rsidR="0046799A">
        <w:t>Documentation of the implementation ensuring all components were established and working as designed.</w:t>
      </w:r>
    </w:p>
    <w:p w:rsidR="0046799A" w:rsidRPr="007A4680" w:rsidRDefault="0046799A" w:rsidP="006323CF">
      <w:pPr>
        <w:numPr>
          <w:ilvl w:val="0"/>
          <w:numId w:val="34"/>
        </w:numPr>
      </w:pPr>
      <w:r w:rsidRPr="007A4680">
        <w:t>Comprehensive jointly</w:t>
      </w:r>
      <w:r w:rsidR="005E4676">
        <w:t xml:space="preserve"> </w:t>
      </w:r>
      <w:r w:rsidRPr="007A4680">
        <w:t xml:space="preserve">crafted MOU satisfactory to management, labor, </w:t>
      </w:r>
      <w:r w:rsidR="00B2235E">
        <w:t xml:space="preserve">and </w:t>
      </w:r>
      <w:r w:rsidRPr="007A4680">
        <w:t>regulators.</w:t>
      </w:r>
    </w:p>
    <w:p w:rsidR="0046799A" w:rsidRPr="007A4680" w:rsidRDefault="0046799A" w:rsidP="006323CF">
      <w:pPr>
        <w:numPr>
          <w:ilvl w:val="0"/>
          <w:numId w:val="34"/>
        </w:numPr>
      </w:pPr>
      <w:r w:rsidRPr="007A4680">
        <w:t>Workable means and structures for reporting, including confidentiality protections.</w:t>
      </w:r>
    </w:p>
    <w:p w:rsidR="0046799A" w:rsidRPr="007A4680" w:rsidRDefault="0046799A" w:rsidP="006323CF">
      <w:pPr>
        <w:numPr>
          <w:ilvl w:val="0"/>
          <w:numId w:val="34"/>
        </w:numPr>
      </w:pPr>
      <w:r w:rsidRPr="007A4680">
        <w:t>Awareness of program and purpose.</w:t>
      </w:r>
    </w:p>
    <w:p w:rsidR="0046799A" w:rsidRDefault="0046799A" w:rsidP="006323CF">
      <w:pPr>
        <w:numPr>
          <w:ilvl w:val="0"/>
          <w:numId w:val="34"/>
        </w:numPr>
      </w:pPr>
      <w:r w:rsidRPr="007A4680">
        <w:t>Participation of members in reporting hazards.</w:t>
      </w:r>
    </w:p>
    <w:p w:rsidR="0046799A" w:rsidRPr="007A4680" w:rsidRDefault="0046799A" w:rsidP="006323CF">
      <w:pPr>
        <w:numPr>
          <w:ilvl w:val="0"/>
          <w:numId w:val="34"/>
        </w:numPr>
      </w:pPr>
      <w:r>
        <w:t>Procedures: Easy to use and well-known?</w:t>
      </w:r>
    </w:p>
    <w:p w:rsidR="0046799A" w:rsidRPr="007A4680" w:rsidRDefault="0046799A" w:rsidP="006323CF">
      <w:pPr>
        <w:numPr>
          <w:ilvl w:val="0"/>
          <w:numId w:val="34"/>
        </w:numPr>
      </w:pPr>
      <w:r w:rsidRPr="007A4680">
        <w:t>Establishment of a report review team.</w:t>
      </w:r>
    </w:p>
    <w:p w:rsidR="0046799A" w:rsidRPr="007A4680" w:rsidRDefault="0046799A" w:rsidP="006323CF">
      <w:pPr>
        <w:numPr>
          <w:ilvl w:val="0"/>
          <w:numId w:val="34"/>
        </w:numPr>
      </w:pPr>
      <w:r w:rsidRPr="007A4680">
        <w:t>Mechanisms for taking action where needed.</w:t>
      </w:r>
    </w:p>
    <w:p w:rsidR="0046799A" w:rsidRPr="007A4680" w:rsidRDefault="0046799A" w:rsidP="006323CF">
      <w:pPr>
        <w:numPr>
          <w:ilvl w:val="0"/>
          <w:numId w:val="34"/>
        </w:numPr>
      </w:pPr>
      <w:r w:rsidRPr="007A4680">
        <w:t>Feedback to reporters.</w:t>
      </w:r>
    </w:p>
    <w:p w:rsidR="0046799A" w:rsidRDefault="0046799A" w:rsidP="006323CF">
      <w:pPr>
        <w:numPr>
          <w:ilvl w:val="0"/>
          <w:numId w:val="34"/>
        </w:numPr>
      </w:pPr>
      <w:r w:rsidRPr="007A4680">
        <w:t>Trust between reporting individuals and management, regulators, and the system.</w:t>
      </w:r>
    </w:p>
    <w:p w:rsidR="0046799A" w:rsidRDefault="0046799A" w:rsidP="006323CF">
      <w:pPr>
        <w:numPr>
          <w:ilvl w:val="0"/>
          <w:numId w:val="34"/>
        </w:numPr>
      </w:pPr>
      <w:r>
        <w:t>Program evaluation report.</w:t>
      </w:r>
    </w:p>
    <w:p w:rsidR="0046799A" w:rsidRDefault="0046799A" w:rsidP="006323CF">
      <w:pPr>
        <w:numPr>
          <w:ilvl w:val="0"/>
          <w:numId w:val="34"/>
        </w:numPr>
        <w:spacing w:after="120"/>
      </w:pPr>
      <w:r>
        <w:t>Were resources sufficient to produce the desired inputs?</w:t>
      </w:r>
    </w:p>
    <w:p w:rsidR="001E00C1" w:rsidRDefault="001E00C1" w:rsidP="006323CF">
      <w:pPr>
        <w:numPr>
          <w:ilvl w:val="0"/>
          <w:numId w:val="34"/>
        </w:numPr>
        <w:spacing w:after="120"/>
      </w:pPr>
      <w:r w:rsidRPr="001E00C1">
        <w:t xml:space="preserve">To what extent was the </w:t>
      </w:r>
      <w:r w:rsidR="008D7209">
        <w:t>close call</w:t>
      </w:r>
      <w:r w:rsidRPr="001E00C1">
        <w:t xml:space="preserve"> reporting system utilized at each of the pilot sites?</w:t>
      </w:r>
    </w:p>
    <w:p w:rsidR="001E00C1" w:rsidRDefault="001E00C1" w:rsidP="006323CF">
      <w:pPr>
        <w:numPr>
          <w:ilvl w:val="0"/>
          <w:numId w:val="34"/>
        </w:numPr>
        <w:spacing w:after="120"/>
      </w:pPr>
      <w:r w:rsidRPr="001E00C1">
        <w:t xml:space="preserve">Were there any common events reported between the pilot sites and were the pilot RTAs able to share strategies they each used among themselves? </w:t>
      </w:r>
    </w:p>
    <w:p w:rsidR="001E00C1" w:rsidRPr="007A4680" w:rsidRDefault="001E00C1" w:rsidP="006323CF">
      <w:pPr>
        <w:numPr>
          <w:ilvl w:val="0"/>
          <w:numId w:val="34"/>
        </w:numPr>
        <w:spacing w:after="120"/>
      </w:pPr>
      <w:r w:rsidRPr="001E00C1">
        <w:t xml:space="preserve">Were there RTA’s </w:t>
      </w:r>
      <w:r w:rsidR="005E4676">
        <w:t>that</w:t>
      </w:r>
      <w:r w:rsidR="005E4676" w:rsidRPr="001E00C1">
        <w:t xml:space="preserve"> </w:t>
      </w:r>
      <w:r w:rsidRPr="001E00C1">
        <w:t xml:space="preserve">were not part of the pilot, but able to address similar events they experienced by reviewing and implementing strategies used by the pilot RTAs?   </w:t>
      </w:r>
    </w:p>
    <w:p w:rsidR="00AB55BA" w:rsidRDefault="00AB55BA" w:rsidP="00947533">
      <w:pPr>
        <w:spacing w:after="0"/>
        <w:rPr>
          <w:b/>
        </w:rPr>
      </w:pPr>
      <w:r w:rsidRPr="00947533">
        <w:rPr>
          <w:b/>
          <w:u w:val="single"/>
        </w:rPr>
        <w:t xml:space="preserve">Document </w:t>
      </w:r>
      <w:r w:rsidR="00660E3F">
        <w:rPr>
          <w:b/>
          <w:u w:val="single"/>
        </w:rPr>
        <w:t>Program O</w:t>
      </w:r>
      <w:r w:rsidR="0046799A" w:rsidRPr="00947533">
        <w:rPr>
          <w:b/>
          <w:u w:val="single"/>
        </w:rPr>
        <w:t>utputs:</w:t>
      </w:r>
      <w:r w:rsidR="0046799A">
        <w:rPr>
          <w:b/>
        </w:rPr>
        <w:t xml:space="preserve"> D</w:t>
      </w:r>
      <w:r w:rsidR="0046799A" w:rsidRPr="007A4680">
        <w:rPr>
          <w:b/>
        </w:rPr>
        <w:t>escriptive</w:t>
      </w:r>
      <w:r>
        <w:rPr>
          <w:b/>
        </w:rPr>
        <w:t xml:space="preserve"> statistics</w:t>
      </w:r>
      <w:r w:rsidR="0046799A">
        <w:rPr>
          <w:b/>
        </w:rPr>
        <w:t xml:space="preserve"> </w:t>
      </w:r>
    </w:p>
    <w:p w:rsidR="0046799A" w:rsidRPr="007A4680" w:rsidRDefault="0046799A" w:rsidP="0046799A">
      <w:pPr>
        <w:rPr>
          <w:b/>
        </w:rPr>
      </w:pPr>
      <w:r>
        <w:t>Data documenting and describing pilot project activities would cover the implementation in terms of time spent, close call reports filed, follow-up reports issued, etc.</w:t>
      </w:r>
      <w:r w:rsidRPr="007A4680">
        <w:rPr>
          <w:b/>
        </w:rPr>
        <w:t>:</w:t>
      </w:r>
    </w:p>
    <w:p w:rsidR="0046799A" w:rsidRPr="007A4680" w:rsidRDefault="0046799A" w:rsidP="006323CF">
      <w:pPr>
        <w:pStyle w:val="ListParagraph"/>
        <w:numPr>
          <w:ilvl w:val="0"/>
          <w:numId w:val="37"/>
        </w:numPr>
        <w:spacing w:after="0" w:line="240" w:lineRule="auto"/>
        <w:contextualSpacing w:val="0"/>
        <w:rPr>
          <w:rFonts w:cs="Calibri"/>
        </w:rPr>
      </w:pPr>
      <w:r w:rsidRPr="007A4680">
        <w:rPr>
          <w:rFonts w:cs="Calibri"/>
        </w:rPr>
        <w:t>Time required to complete MOU from beginning to end</w:t>
      </w:r>
    </w:p>
    <w:p w:rsidR="0046799A" w:rsidRPr="007A4680" w:rsidRDefault="0046799A" w:rsidP="006323CF">
      <w:pPr>
        <w:pStyle w:val="ListParagraph"/>
        <w:numPr>
          <w:ilvl w:val="1"/>
          <w:numId w:val="37"/>
        </w:numPr>
        <w:spacing w:after="0" w:line="240" w:lineRule="auto"/>
        <w:contextualSpacing w:val="0"/>
        <w:rPr>
          <w:rFonts w:cs="Calibri"/>
        </w:rPr>
      </w:pPr>
      <w:r w:rsidRPr="007A4680">
        <w:rPr>
          <w:rFonts w:cs="Calibri"/>
        </w:rPr>
        <w:t>Elapsed time</w:t>
      </w:r>
      <w:r>
        <w:rPr>
          <w:rFonts w:cs="Calibri"/>
        </w:rPr>
        <w:t>.</w:t>
      </w:r>
    </w:p>
    <w:p w:rsidR="0046799A" w:rsidRPr="007A4680" w:rsidRDefault="0046799A" w:rsidP="006323CF">
      <w:pPr>
        <w:pStyle w:val="ListParagraph"/>
        <w:numPr>
          <w:ilvl w:val="1"/>
          <w:numId w:val="37"/>
        </w:numPr>
        <w:spacing w:after="0" w:line="240" w:lineRule="auto"/>
        <w:contextualSpacing w:val="0"/>
        <w:rPr>
          <w:rFonts w:cs="Calibri"/>
        </w:rPr>
      </w:pPr>
      <w:r w:rsidRPr="007A4680">
        <w:rPr>
          <w:rFonts w:cs="Calibri"/>
        </w:rPr>
        <w:t>Calendar days</w:t>
      </w:r>
      <w:r>
        <w:rPr>
          <w:rFonts w:cs="Calibri"/>
        </w:rPr>
        <w:t>.</w:t>
      </w:r>
    </w:p>
    <w:p w:rsidR="0046799A" w:rsidRPr="007A4680" w:rsidRDefault="0046799A" w:rsidP="006323CF">
      <w:pPr>
        <w:pStyle w:val="ListParagraph"/>
        <w:numPr>
          <w:ilvl w:val="1"/>
          <w:numId w:val="37"/>
        </w:numPr>
        <w:spacing w:after="0" w:line="240" w:lineRule="auto"/>
        <w:contextualSpacing w:val="0"/>
        <w:rPr>
          <w:rFonts w:cs="Calibri"/>
        </w:rPr>
      </w:pPr>
      <w:r>
        <w:rPr>
          <w:rFonts w:cs="Calibri"/>
        </w:rPr>
        <w:t>Percent</w:t>
      </w:r>
      <w:r w:rsidR="00660E3F">
        <w:rPr>
          <w:rFonts w:cs="Calibri"/>
        </w:rPr>
        <w:t xml:space="preserve"> of total pilot duration.</w:t>
      </w:r>
    </w:p>
    <w:p w:rsidR="0046799A" w:rsidRPr="007A4680" w:rsidRDefault="00660E3F" w:rsidP="006323CF">
      <w:pPr>
        <w:pStyle w:val="ListParagraph"/>
        <w:numPr>
          <w:ilvl w:val="0"/>
          <w:numId w:val="37"/>
        </w:numPr>
        <w:spacing w:after="0" w:line="240" w:lineRule="auto"/>
        <w:contextualSpacing w:val="0"/>
        <w:rPr>
          <w:rFonts w:cs="Calibri"/>
        </w:rPr>
      </w:pPr>
      <w:r>
        <w:rPr>
          <w:rFonts w:cs="Calibri"/>
        </w:rPr>
        <w:t>Report</w:t>
      </w:r>
      <w:r w:rsidR="0046799A" w:rsidRPr="007A4680">
        <w:rPr>
          <w:rFonts w:cs="Calibri"/>
        </w:rPr>
        <w:t xml:space="preserve"> volume</w:t>
      </w:r>
    </w:p>
    <w:p w:rsidR="0046799A" w:rsidRPr="007A4680" w:rsidRDefault="00660E3F" w:rsidP="006323CF">
      <w:pPr>
        <w:pStyle w:val="ListParagraph"/>
        <w:numPr>
          <w:ilvl w:val="1"/>
          <w:numId w:val="37"/>
        </w:numPr>
        <w:spacing w:after="0" w:line="240" w:lineRule="auto"/>
        <w:contextualSpacing w:val="0"/>
        <w:rPr>
          <w:rFonts w:cs="Calibri"/>
        </w:rPr>
      </w:pPr>
      <w:r>
        <w:rPr>
          <w:rFonts w:cs="Calibri"/>
        </w:rPr>
        <w:t>Number of total reports</w:t>
      </w:r>
      <w:r w:rsidR="0048322D">
        <w:rPr>
          <w:rFonts w:cs="Calibri"/>
        </w:rPr>
        <w:t>.</w:t>
      </w:r>
    </w:p>
    <w:p w:rsidR="0046799A" w:rsidRPr="007A4680" w:rsidRDefault="0046799A" w:rsidP="006323CF">
      <w:pPr>
        <w:pStyle w:val="ListParagraph"/>
        <w:numPr>
          <w:ilvl w:val="1"/>
          <w:numId w:val="37"/>
        </w:numPr>
        <w:spacing w:after="0" w:line="240" w:lineRule="auto"/>
        <w:contextualSpacing w:val="0"/>
        <w:rPr>
          <w:rFonts w:cs="Calibri"/>
        </w:rPr>
      </w:pPr>
      <w:r>
        <w:rPr>
          <w:rFonts w:cs="Calibri"/>
        </w:rPr>
        <w:t xml:space="preserve">Percent </w:t>
      </w:r>
      <w:r w:rsidR="00660E3F">
        <w:rPr>
          <w:rFonts w:cs="Calibri"/>
        </w:rPr>
        <w:t>of total reports</w:t>
      </w:r>
      <w:r w:rsidR="004061FD">
        <w:rPr>
          <w:rFonts w:cs="Calibri"/>
        </w:rPr>
        <w:t xml:space="preserve"> accepted as valid.</w:t>
      </w:r>
    </w:p>
    <w:p w:rsidR="0046799A" w:rsidRPr="007A4680" w:rsidRDefault="0046799A" w:rsidP="006323CF">
      <w:pPr>
        <w:pStyle w:val="ListParagraph"/>
        <w:numPr>
          <w:ilvl w:val="0"/>
          <w:numId w:val="37"/>
        </w:numPr>
        <w:spacing w:after="0" w:line="240" w:lineRule="auto"/>
        <w:contextualSpacing w:val="0"/>
        <w:rPr>
          <w:rFonts w:cs="Calibri"/>
        </w:rPr>
      </w:pPr>
      <w:r>
        <w:rPr>
          <w:rFonts w:cs="Calibri"/>
        </w:rPr>
        <w:t>Follow-</w:t>
      </w:r>
      <w:r w:rsidRPr="007A4680">
        <w:rPr>
          <w:rFonts w:cs="Calibri"/>
        </w:rPr>
        <w:t>t</w:t>
      </w:r>
      <w:r w:rsidR="00660E3F">
        <w:rPr>
          <w:rFonts w:cs="Calibri"/>
        </w:rPr>
        <w:t xml:space="preserve">hrough / analysis of </w:t>
      </w:r>
      <w:r w:rsidR="008D7209">
        <w:rPr>
          <w:rFonts w:cs="Calibri"/>
        </w:rPr>
        <w:t>close call</w:t>
      </w:r>
      <w:r w:rsidR="00660E3F">
        <w:rPr>
          <w:rFonts w:cs="Calibri"/>
        </w:rPr>
        <w:t>s</w:t>
      </w:r>
    </w:p>
    <w:p w:rsidR="0046799A" w:rsidRPr="007A4680" w:rsidRDefault="004061FD" w:rsidP="006323CF">
      <w:pPr>
        <w:pStyle w:val="ListParagraph"/>
        <w:numPr>
          <w:ilvl w:val="1"/>
          <w:numId w:val="37"/>
        </w:numPr>
        <w:spacing w:after="0" w:line="240" w:lineRule="auto"/>
        <w:contextualSpacing w:val="0"/>
        <w:rPr>
          <w:rFonts w:cs="Calibri"/>
        </w:rPr>
      </w:pPr>
      <w:r>
        <w:rPr>
          <w:rFonts w:cs="Calibri"/>
        </w:rPr>
        <w:t>Rate of follow-up with reporting employees.</w:t>
      </w:r>
    </w:p>
    <w:p w:rsidR="0046799A" w:rsidRPr="007A4680" w:rsidRDefault="004061FD" w:rsidP="006323CF">
      <w:pPr>
        <w:pStyle w:val="ListParagraph"/>
        <w:numPr>
          <w:ilvl w:val="1"/>
          <w:numId w:val="37"/>
        </w:numPr>
        <w:spacing w:after="0" w:line="240" w:lineRule="auto"/>
        <w:contextualSpacing w:val="0"/>
        <w:rPr>
          <w:rFonts w:cs="Calibri"/>
        </w:rPr>
      </w:pPr>
      <w:r>
        <w:rPr>
          <w:rFonts w:cs="Calibri"/>
        </w:rPr>
        <w:t>Number of valid reports</w:t>
      </w:r>
      <w:r w:rsidR="0046799A" w:rsidRPr="007A4680">
        <w:rPr>
          <w:rFonts w:cs="Calibri"/>
        </w:rPr>
        <w:t xml:space="preserve"> resulting in action</w:t>
      </w:r>
      <w:r w:rsidR="0046799A">
        <w:rPr>
          <w:rFonts w:cs="Calibri"/>
        </w:rPr>
        <w:t>.</w:t>
      </w:r>
      <w:r w:rsidR="0046799A" w:rsidRPr="007A4680">
        <w:rPr>
          <w:rFonts w:cs="Calibri"/>
        </w:rPr>
        <w:t xml:space="preserve"> </w:t>
      </w:r>
    </w:p>
    <w:p w:rsidR="0046799A" w:rsidRPr="007A4680" w:rsidRDefault="0046799A" w:rsidP="006323CF">
      <w:pPr>
        <w:pStyle w:val="ListParagraph"/>
        <w:numPr>
          <w:ilvl w:val="0"/>
          <w:numId w:val="37"/>
        </w:numPr>
        <w:spacing w:after="0" w:line="240" w:lineRule="auto"/>
        <w:contextualSpacing w:val="0"/>
        <w:rPr>
          <w:rFonts w:cs="Calibri"/>
        </w:rPr>
      </w:pPr>
      <w:r w:rsidRPr="007A4680">
        <w:rPr>
          <w:rFonts w:cs="Calibri"/>
        </w:rPr>
        <w:lastRenderedPageBreak/>
        <w:t xml:space="preserve">Educational Materials / Bulletins </w:t>
      </w:r>
    </w:p>
    <w:p w:rsidR="0046799A" w:rsidRPr="007A4680" w:rsidRDefault="0046799A" w:rsidP="006323CF">
      <w:pPr>
        <w:pStyle w:val="ListParagraph"/>
        <w:numPr>
          <w:ilvl w:val="1"/>
          <w:numId w:val="37"/>
        </w:numPr>
        <w:spacing w:after="0" w:line="240" w:lineRule="auto"/>
        <w:contextualSpacing w:val="0"/>
        <w:rPr>
          <w:rFonts w:cs="Calibri"/>
        </w:rPr>
      </w:pPr>
      <w:r w:rsidRPr="007A4680">
        <w:rPr>
          <w:rFonts w:cs="Calibri"/>
        </w:rPr>
        <w:t>Number of documents developed</w:t>
      </w:r>
      <w:r>
        <w:rPr>
          <w:rFonts w:cs="Calibri"/>
        </w:rPr>
        <w:t>.</w:t>
      </w:r>
      <w:r w:rsidRPr="007A4680">
        <w:rPr>
          <w:rFonts w:cs="Calibri"/>
        </w:rPr>
        <w:t xml:space="preserve"> </w:t>
      </w:r>
    </w:p>
    <w:p w:rsidR="0046799A" w:rsidRPr="007A4680" w:rsidRDefault="0046799A" w:rsidP="006323CF">
      <w:pPr>
        <w:pStyle w:val="ListParagraph"/>
        <w:numPr>
          <w:ilvl w:val="1"/>
          <w:numId w:val="37"/>
        </w:numPr>
        <w:spacing w:after="0" w:line="240" w:lineRule="auto"/>
        <w:contextualSpacing w:val="0"/>
        <w:rPr>
          <w:rFonts w:cs="Calibri"/>
        </w:rPr>
      </w:pPr>
      <w:r w:rsidRPr="007A4680">
        <w:rPr>
          <w:rFonts w:cs="Calibri"/>
        </w:rPr>
        <w:t>Number of documents distributed/used within agency</w:t>
      </w:r>
      <w:r>
        <w:rPr>
          <w:rFonts w:cs="Calibri"/>
        </w:rPr>
        <w:t>.</w:t>
      </w:r>
    </w:p>
    <w:p w:rsidR="0046799A" w:rsidRPr="007A4680" w:rsidRDefault="0046799A" w:rsidP="006323CF">
      <w:pPr>
        <w:pStyle w:val="ListParagraph"/>
        <w:numPr>
          <w:ilvl w:val="1"/>
          <w:numId w:val="37"/>
        </w:numPr>
        <w:spacing w:after="0" w:line="240" w:lineRule="auto"/>
        <w:contextualSpacing w:val="0"/>
        <w:rPr>
          <w:rFonts w:cs="Calibri"/>
        </w:rPr>
      </w:pPr>
      <w:r w:rsidRPr="007A4680">
        <w:rPr>
          <w:rFonts w:cs="Calibri"/>
        </w:rPr>
        <w:t>Number of documents distributed/used within broader transit industry</w:t>
      </w:r>
      <w:r>
        <w:rPr>
          <w:rFonts w:cs="Calibri"/>
        </w:rPr>
        <w:t>.</w:t>
      </w:r>
    </w:p>
    <w:p w:rsidR="0046799A" w:rsidRPr="007A4680" w:rsidRDefault="0046799A" w:rsidP="006323CF">
      <w:pPr>
        <w:pStyle w:val="ListParagraph"/>
        <w:numPr>
          <w:ilvl w:val="0"/>
          <w:numId w:val="37"/>
        </w:numPr>
        <w:spacing w:after="0" w:line="240" w:lineRule="auto"/>
        <w:contextualSpacing w:val="0"/>
        <w:rPr>
          <w:rFonts w:cs="Calibri"/>
        </w:rPr>
      </w:pPr>
      <w:r w:rsidRPr="007A4680">
        <w:rPr>
          <w:rFonts w:cs="Calibri"/>
        </w:rPr>
        <w:t>Procedural Changes</w:t>
      </w:r>
    </w:p>
    <w:p w:rsidR="0046799A" w:rsidRPr="007A4680" w:rsidRDefault="0046799A" w:rsidP="006323CF">
      <w:pPr>
        <w:pStyle w:val="ListParagraph"/>
        <w:numPr>
          <w:ilvl w:val="1"/>
          <w:numId w:val="37"/>
        </w:numPr>
        <w:spacing w:after="0" w:line="240" w:lineRule="auto"/>
        <w:contextualSpacing w:val="0"/>
        <w:rPr>
          <w:rFonts w:cs="Calibri"/>
        </w:rPr>
      </w:pPr>
      <w:r w:rsidRPr="007A4680">
        <w:rPr>
          <w:rFonts w:cs="Calibri"/>
        </w:rPr>
        <w:t>Number of process/procedures changed within agency</w:t>
      </w:r>
      <w:r>
        <w:rPr>
          <w:rFonts w:cs="Calibri"/>
        </w:rPr>
        <w:t>.</w:t>
      </w:r>
    </w:p>
    <w:p w:rsidR="0046799A" w:rsidRPr="007A4680" w:rsidRDefault="0046799A" w:rsidP="006323CF">
      <w:pPr>
        <w:pStyle w:val="ListParagraph"/>
        <w:numPr>
          <w:ilvl w:val="1"/>
          <w:numId w:val="37"/>
        </w:numPr>
        <w:spacing w:after="0" w:line="240" w:lineRule="auto"/>
        <w:contextualSpacing w:val="0"/>
        <w:rPr>
          <w:rFonts w:cs="Calibri"/>
        </w:rPr>
      </w:pPr>
      <w:r w:rsidRPr="007A4680">
        <w:rPr>
          <w:rFonts w:cs="Calibri"/>
        </w:rPr>
        <w:t>Number of process/procedures changed within broader transit industry</w:t>
      </w:r>
      <w:r>
        <w:rPr>
          <w:rFonts w:cs="Calibri"/>
        </w:rPr>
        <w:t>.</w:t>
      </w:r>
    </w:p>
    <w:p w:rsidR="0046799A" w:rsidRPr="007A4680" w:rsidRDefault="0046799A" w:rsidP="0046799A">
      <w:pPr>
        <w:pStyle w:val="ListParagraph"/>
        <w:ind w:left="1080"/>
        <w:rPr>
          <w:rFonts w:cs="Calibri"/>
        </w:rPr>
      </w:pPr>
    </w:p>
    <w:p w:rsidR="00AB55BA" w:rsidRDefault="00AB55BA" w:rsidP="00947533">
      <w:pPr>
        <w:spacing w:after="0"/>
        <w:rPr>
          <w:b/>
        </w:rPr>
      </w:pPr>
      <w:r w:rsidRPr="00947533">
        <w:rPr>
          <w:b/>
          <w:u w:val="single"/>
        </w:rPr>
        <w:t>Identify Primary S</w:t>
      </w:r>
      <w:r w:rsidR="0046799A" w:rsidRPr="00947533">
        <w:rPr>
          <w:b/>
          <w:u w:val="single"/>
        </w:rPr>
        <w:t xml:space="preserve">ubstantive </w:t>
      </w:r>
      <w:r w:rsidRPr="00947533">
        <w:rPr>
          <w:b/>
          <w:u w:val="single"/>
        </w:rPr>
        <w:t>O</w:t>
      </w:r>
      <w:r w:rsidR="0046799A" w:rsidRPr="00947533">
        <w:rPr>
          <w:b/>
          <w:u w:val="single"/>
        </w:rPr>
        <w:t>utcomes</w:t>
      </w:r>
      <w:r w:rsidRPr="00947533">
        <w:rPr>
          <w:b/>
          <w:u w:val="single"/>
        </w:rPr>
        <w:t>:</w:t>
      </w:r>
      <w:r>
        <w:rPr>
          <w:b/>
        </w:rPr>
        <w:t xml:space="preserve"> Safety information and mitigation</w:t>
      </w:r>
    </w:p>
    <w:p w:rsidR="0046799A" w:rsidRDefault="0046799A" w:rsidP="0046799A">
      <w:r>
        <w:t xml:space="preserve">These would be the most important </w:t>
      </w:r>
      <w:r w:rsidR="004061FD">
        <w:t xml:space="preserve">pilot evaluation </w:t>
      </w:r>
      <w:r>
        <w:t>criteria</w:t>
      </w:r>
      <w:r w:rsidR="004061FD">
        <w:t xml:space="preserve"> and the primary category </w:t>
      </w:r>
      <w:r w:rsidR="005E4676">
        <w:t xml:space="preserve">to </w:t>
      </w:r>
      <w:r w:rsidR="004061FD">
        <w:t>inform a decision as to whether or not to establish a nationwide system based on the pilots</w:t>
      </w:r>
      <w:r>
        <w:t>. Did the pilot result in new</w:t>
      </w:r>
      <w:r w:rsidR="005E4676">
        <w:t>,</w:t>
      </w:r>
      <w:r>
        <w:t xml:space="preserve"> useful information </w:t>
      </w:r>
      <w:r w:rsidR="004061FD">
        <w:t xml:space="preserve">that would otherwise not have been available </w:t>
      </w:r>
      <w:r>
        <w:t>that was acted upo</w:t>
      </w:r>
      <w:r w:rsidR="004061FD">
        <w:t xml:space="preserve">n to benefit safety? </w:t>
      </w:r>
      <w:r>
        <w:t xml:space="preserve">These might be called safety-performance </w:t>
      </w:r>
      <w:r w:rsidRPr="00743AC1">
        <w:rPr>
          <w:u w:val="single"/>
        </w:rPr>
        <w:t>affecting</w:t>
      </w:r>
      <w:r>
        <w:t xml:space="preserve"> variables, and should be sufficiently validated by</w:t>
      </w:r>
      <w:r w:rsidR="004061FD">
        <w:t xml:space="preserve"> the experiences of</w:t>
      </w:r>
      <w:r>
        <w:t xml:space="preserve"> other transportation mode</w:t>
      </w:r>
      <w:r w:rsidR="004061FD">
        <w:t xml:space="preserve">s </w:t>
      </w:r>
      <w:r>
        <w:t>to provide confidence as surrogates for the more elusive actual safety performance measures.</w:t>
      </w:r>
    </w:p>
    <w:p w:rsidR="0046799A" w:rsidRPr="007A4680" w:rsidRDefault="0046799A" w:rsidP="006323CF">
      <w:pPr>
        <w:numPr>
          <w:ilvl w:val="0"/>
          <w:numId w:val="33"/>
        </w:numPr>
      </w:pPr>
      <w:r w:rsidRPr="007A4680">
        <w:t>Safety improvement. Reduction of hazards, risks.</w:t>
      </w:r>
    </w:p>
    <w:p w:rsidR="0046799A" w:rsidRPr="007A4680" w:rsidRDefault="0046799A" w:rsidP="006323CF">
      <w:pPr>
        <w:numPr>
          <w:ilvl w:val="0"/>
          <w:numId w:val="33"/>
        </w:numPr>
      </w:pPr>
      <w:r w:rsidRPr="007A4680">
        <w:t>Identification of hazards. Hazards that otherwise would not have been brought to the attention of those they affect and those who can take action to mitigate the hazards.</w:t>
      </w:r>
    </w:p>
    <w:p w:rsidR="0046799A" w:rsidRPr="007A4680" w:rsidRDefault="0046799A" w:rsidP="006323CF">
      <w:pPr>
        <w:numPr>
          <w:ilvl w:val="0"/>
          <w:numId w:val="33"/>
        </w:numPr>
      </w:pPr>
      <w:r w:rsidRPr="007A4680">
        <w:t xml:space="preserve">Extent of </w:t>
      </w:r>
      <w:r>
        <w:t xml:space="preserve">change in the </w:t>
      </w:r>
      <w:r w:rsidRPr="007A4680">
        <w:t>completeness of close call and safety issue reports.</w:t>
      </w:r>
    </w:p>
    <w:p w:rsidR="0046799A" w:rsidRPr="007A4680" w:rsidRDefault="0046799A" w:rsidP="006323CF">
      <w:pPr>
        <w:numPr>
          <w:ilvl w:val="0"/>
          <w:numId w:val="33"/>
        </w:numPr>
      </w:pPr>
      <w:r w:rsidRPr="007A4680">
        <w:t>Extent of change in the</w:t>
      </w:r>
      <w:r>
        <w:t xml:space="preserve"> number of</w:t>
      </w:r>
      <w:r w:rsidRPr="007A4680">
        <w:t xml:space="preserve"> close call</w:t>
      </w:r>
      <w:r>
        <w:t xml:space="preserve"> reports.</w:t>
      </w:r>
    </w:p>
    <w:p w:rsidR="0046799A" w:rsidRPr="007A4680" w:rsidRDefault="0046799A" w:rsidP="006323CF">
      <w:pPr>
        <w:numPr>
          <w:ilvl w:val="0"/>
          <w:numId w:val="33"/>
        </w:numPr>
      </w:pPr>
      <w:r>
        <w:t>Extent of change in the number of follow-up reports to close call reports.</w:t>
      </w:r>
    </w:p>
    <w:p w:rsidR="0046799A" w:rsidRDefault="0046799A" w:rsidP="006323CF">
      <w:pPr>
        <w:numPr>
          <w:ilvl w:val="0"/>
          <w:numId w:val="33"/>
        </w:numPr>
      </w:pPr>
      <w:r w:rsidRPr="007A4680">
        <w:t>Extent of change in the reporting of other safety issues.</w:t>
      </w:r>
    </w:p>
    <w:p w:rsidR="0046799A" w:rsidRPr="007A4680" w:rsidRDefault="0046799A" w:rsidP="006323CF">
      <w:pPr>
        <w:numPr>
          <w:ilvl w:val="0"/>
          <w:numId w:val="33"/>
        </w:numPr>
      </w:pPr>
      <w:r>
        <w:t>Ability to determine h</w:t>
      </w:r>
      <w:r w:rsidRPr="007A4680">
        <w:t xml:space="preserve">azard pervasiveness. </w:t>
      </w:r>
      <w:r>
        <w:t xml:space="preserve">Unique occurrence, </w:t>
      </w:r>
      <w:r w:rsidRPr="007A4680">
        <w:t>pervasive</w:t>
      </w:r>
      <w:r>
        <w:t>, or increasing</w:t>
      </w:r>
      <w:r w:rsidR="005E4676">
        <w:t>,</w:t>
      </w:r>
      <w:r>
        <w:t xml:space="preserve"> trending</w:t>
      </w:r>
      <w:r w:rsidRPr="007A4680">
        <w:t>?</w:t>
      </w:r>
    </w:p>
    <w:p w:rsidR="0046799A" w:rsidRPr="007A4680" w:rsidRDefault="0046799A" w:rsidP="006323CF">
      <w:pPr>
        <w:numPr>
          <w:ilvl w:val="0"/>
          <w:numId w:val="33"/>
        </w:numPr>
      </w:pPr>
      <w:r w:rsidRPr="007A4680">
        <w:t xml:space="preserve">Collection of hazard information useful for remedial action for single hazard instances </w:t>
      </w:r>
      <w:r>
        <w:t>and for</w:t>
      </w:r>
      <w:r w:rsidRPr="007A4680">
        <w:t xml:space="preserve"> emerging </w:t>
      </w:r>
      <w:r w:rsidR="004061FD">
        <w:t>hazard trends</w:t>
      </w:r>
      <w:r w:rsidRPr="007A4680">
        <w:t>.</w:t>
      </w:r>
    </w:p>
    <w:p w:rsidR="0046799A" w:rsidRPr="007A4680" w:rsidRDefault="0046799A" w:rsidP="006323CF">
      <w:pPr>
        <w:numPr>
          <w:ilvl w:val="0"/>
          <w:numId w:val="33"/>
        </w:numPr>
      </w:pPr>
      <w:r w:rsidRPr="007A4680">
        <w:t>Expansion of safety information pool – those who engage in safety improvement and development.</w:t>
      </w:r>
    </w:p>
    <w:p w:rsidR="0046799A" w:rsidRPr="007A4680" w:rsidRDefault="0046799A" w:rsidP="006323CF">
      <w:pPr>
        <w:numPr>
          <w:ilvl w:val="0"/>
          <w:numId w:val="33"/>
        </w:numPr>
      </w:pPr>
      <w:r w:rsidRPr="007A4680">
        <w:t>Are actions taken to reduce identified hazards?</w:t>
      </w:r>
    </w:p>
    <w:p w:rsidR="0046799A" w:rsidRPr="007A4680" w:rsidRDefault="00F1743E" w:rsidP="006323CF">
      <w:pPr>
        <w:numPr>
          <w:ilvl w:val="0"/>
          <w:numId w:val="33"/>
        </w:numPr>
      </w:pPr>
      <w:r>
        <w:t xml:space="preserve">Participation </w:t>
      </w:r>
      <w:r w:rsidR="0046799A" w:rsidRPr="007A4680">
        <w:t>of all members of the organization in hazard identification and reduction, especially those closest to the hazards.</w:t>
      </w:r>
    </w:p>
    <w:p w:rsidR="0046799A" w:rsidRDefault="0046799A" w:rsidP="006323CF">
      <w:pPr>
        <w:numPr>
          <w:ilvl w:val="0"/>
          <w:numId w:val="33"/>
        </w:numPr>
      </w:pPr>
      <w:r w:rsidRPr="007A4680">
        <w:lastRenderedPageBreak/>
        <w:t>Empowerment of members who otherwise might think it either futile or personally harmful to engage in hazard identification and reduction.</w:t>
      </w:r>
    </w:p>
    <w:p w:rsidR="0046799A" w:rsidRDefault="0046799A" w:rsidP="006323CF">
      <w:pPr>
        <w:numPr>
          <w:ilvl w:val="0"/>
          <w:numId w:val="33"/>
        </w:numPr>
      </w:pPr>
      <w:r>
        <w:t>Safety performance in terms of injuries and accidents and any trends. Because safety improvement is the ultimate goal, it</w:t>
      </w:r>
      <w:r w:rsidRPr="00743AC1">
        <w:t xml:space="preserve"> would be good to at least attempt direct measures of safety performance, such as injury and accident rates</w:t>
      </w:r>
      <w:r>
        <w:t xml:space="preserve"> and trends. However, this could be the most difficult part of the evaluation for many reasons. Evaluation would</w:t>
      </w:r>
      <w:r w:rsidRPr="00743AC1">
        <w:t xml:space="preserve"> be especially problematic if the pilot sites were a select set of already high-performing agencies, </w:t>
      </w:r>
      <w:r>
        <w:t>because</w:t>
      </w:r>
      <w:r w:rsidRPr="00743AC1">
        <w:t xml:space="preserve"> safety performance measures for such sites </w:t>
      </w:r>
      <w:r>
        <w:t xml:space="preserve">initially </w:t>
      </w:r>
      <w:r w:rsidRPr="00743AC1">
        <w:t>may only provide little variability in safety performance.</w:t>
      </w:r>
      <w:r>
        <w:t xml:space="preserve"> Safety performance measures may not be sensitive enough to be used for decision-making purposes since they are subject to many external influential variables that likely could overshadow the little variability in high-performing pilot sites. In s</w:t>
      </w:r>
      <w:r w:rsidR="00F1743E">
        <w:t>ummary, if measures 1 through 12</w:t>
      </w:r>
      <w:r>
        <w:t xml:space="preserve"> show significant changes, but safety performance does not, decisions for r</w:t>
      </w:r>
      <w:r w:rsidR="00F1743E">
        <w:t>ollout should depend on these 12</w:t>
      </w:r>
      <w:r>
        <w:t xml:space="preserve"> measures because it may not be possible to confidently conclude what caused any trend, or lack of trend, in the safety performance measures.</w:t>
      </w:r>
    </w:p>
    <w:p w:rsidR="00AB55BA" w:rsidRDefault="00AB55BA" w:rsidP="00947533">
      <w:pPr>
        <w:spacing w:after="0"/>
        <w:rPr>
          <w:b/>
        </w:rPr>
      </w:pPr>
      <w:r w:rsidRPr="00947533">
        <w:rPr>
          <w:b/>
          <w:u w:val="single"/>
        </w:rPr>
        <w:t xml:space="preserve">Identify </w:t>
      </w:r>
      <w:r w:rsidR="0046799A" w:rsidRPr="00947533">
        <w:rPr>
          <w:b/>
          <w:u w:val="single"/>
        </w:rPr>
        <w:t>Other</w:t>
      </w:r>
      <w:r w:rsidRPr="00947533">
        <w:rPr>
          <w:b/>
          <w:u w:val="single"/>
        </w:rPr>
        <w:t xml:space="preserve"> S</w:t>
      </w:r>
      <w:r w:rsidR="0046799A" w:rsidRPr="00947533">
        <w:rPr>
          <w:b/>
          <w:u w:val="single"/>
        </w:rPr>
        <w:t xml:space="preserve">ubstantive </w:t>
      </w:r>
      <w:r w:rsidRPr="00947533">
        <w:rPr>
          <w:b/>
          <w:u w:val="single"/>
        </w:rPr>
        <w:t>O</w:t>
      </w:r>
      <w:r w:rsidR="0046799A" w:rsidRPr="00947533">
        <w:rPr>
          <w:b/>
          <w:u w:val="single"/>
        </w:rPr>
        <w:t>utcomes:</w:t>
      </w:r>
      <w:r w:rsidR="0046799A">
        <w:rPr>
          <w:b/>
        </w:rPr>
        <w:t xml:space="preserve"> O</w:t>
      </w:r>
      <w:r w:rsidR="0046799A" w:rsidRPr="00ED29B7">
        <w:rPr>
          <w:b/>
        </w:rPr>
        <w:t>rganizational benefits</w:t>
      </w:r>
      <w:r w:rsidR="0046799A">
        <w:rPr>
          <w:b/>
        </w:rPr>
        <w:t>, program diagnostics</w:t>
      </w:r>
    </w:p>
    <w:p w:rsidR="0046799A" w:rsidRPr="004B36AE" w:rsidRDefault="0046799A" w:rsidP="0046799A">
      <w:r w:rsidRPr="000A3A50">
        <w:t>The evaluation should examine how participants view the pilot project.</w:t>
      </w:r>
      <w:r>
        <w:rPr>
          <w:b/>
        </w:rPr>
        <w:t xml:space="preserve"> </w:t>
      </w:r>
      <w:r>
        <w:t>The extent and value of measur</w:t>
      </w:r>
      <w:r w:rsidR="00F1743E">
        <w:t>ement and evaluation using the following</w:t>
      </w:r>
      <w:r>
        <w:t xml:space="preserve"> criteria will likely</w:t>
      </w:r>
      <w:r w:rsidRPr="004B36AE">
        <w:t xml:space="preserve"> depend on availability of resources</w:t>
      </w:r>
      <w:r>
        <w:t xml:space="preserve"> to produce quality surveys. A </w:t>
      </w:r>
      <w:r w:rsidRPr="00B31CAD">
        <w:t>survey</w:t>
      </w:r>
      <w:r>
        <w:t xml:space="preserve"> whose results could generate any confidence in its conclusions could be expensive, although even simple surveys could identify issues needing attention. While we believe that these criteria should not be a </w:t>
      </w:r>
      <w:r w:rsidRPr="004B36AE">
        <w:t>determinant for proceeding with new rollouts,</w:t>
      </w:r>
      <w:r>
        <w:t xml:space="preserve"> they would be important and</w:t>
      </w:r>
      <w:r w:rsidRPr="004B36AE">
        <w:t xml:space="preserve"> could be useful input for new rollouts.</w:t>
      </w:r>
    </w:p>
    <w:p w:rsidR="0046799A" w:rsidRDefault="0046799A" w:rsidP="006323CF">
      <w:pPr>
        <w:numPr>
          <w:ilvl w:val="0"/>
          <w:numId w:val="38"/>
        </w:numPr>
      </w:pPr>
      <w:r w:rsidRPr="00947533">
        <w:rPr>
          <w:b/>
        </w:rPr>
        <w:t>Self-reported attitudes.</w:t>
      </w:r>
      <w:r w:rsidRPr="007A4680">
        <w:t xml:space="preserve"> </w:t>
      </w:r>
      <w:r w:rsidRPr="00C036C7">
        <w:t xml:space="preserve">Many additional benefits are possible through the experience of a successful confidential </w:t>
      </w:r>
      <w:r w:rsidR="008D7209">
        <w:t>close call</w:t>
      </w:r>
      <w:r w:rsidRPr="00C036C7">
        <w:t xml:space="preserve"> </w:t>
      </w:r>
      <w:r w:rsidR="00046A8D">
        <w:t xml:space="preserve">safety </w:t>
      </w:r>
      <w:r w:rsidRPr="00C036C7">
        <w:t xml:space="preserve">reporting system. </w:t>
      </w:r>
      <w:r>
        <w:t xml:space="preserve">These benefits ultimately can contribute to the organization’s safety culture, overall health, and ultimate survival. </w:t>
      </w:r>
      <w:r w:rsidRPr="00C036C7">
        <w:t xml:space="preserve">Many of those benefits can be </w:t>
      </w:r>
      <w:r>
        <w:t>characterized</w:t>
      </w:r>
      <w:r w:rsidRPr="00C036C7">
        <w:t xml:space="preserve"> as quality of work life.</w:t>
      </w:r>
      <w:r w:rsidRPr="006D7588">
        <w:t xml:space="preserve"> </w:t>
      </w:r>
      <w:r>
        <w:t>Evaluation might include measures of attitudes and perceptions, such as trust, justice, empowerment, self-efficacy in safety, job satisfaction, organizational citizenship behavior, and others.</w:t>
      </w:r>
      <w:r w:rsidRPr="00C036C7">
        <w:t xml:space="preserve"> </w:t>
      </w:r>
      <w:r>
        <w:t>I</w:t>
      </w:r>
      <w:r w:rsidRPr="00C036C7">
        <w:t>mpacts</w:t>
      </w:r>
      <w:r>
        <w:t xml:space="preserve"> such as these</w:t>
      </w:r>
      <w:r w:rsidRPr="00C036C7">
        <w:t xml:space="preserve"> are most commonly tracked as changes in attitudes about work and are measured through surveys. </w:t>
      </w:r>
      <w:r>
        <w:t xml:space="preserve"> </w:t>
      </w:r>
    </w:p>
    <w:p w:rsidR="0046799A" w:rsidRDefault="0046799A" w:rsidP="0046799A">
      <w:pPr>
        <w:ind w:left="720"/>
      </w:pPr>
      <w:r w:rsidRPr="00C036C7">
        <w:t xml:space="preserve">However, recognizing that </w:t>
      </w:r>
      <w:r>
        <w:t>the ability of surveys to provide data-</w:t>
      </w:r>
      <w:r w:rsidRPr="00C036C7">
        <w:t>quality sufficient to make confident conclusions present</w:t>
      </w:r>
      <w:r>
        <w:t>s</w:t>
      </w:r>
      <w:r w:rsidRPr="00C036C7">
        <w:t xml:space="preserve"> s</w:t>
      </w:r>
      <w:r>
        <w:t>everal difficulties</w:t>
      </w:r>
      <w:r w:rsidRPr="00C036C7">
        <w:t>. Other events and experiences can often overshadow the effect of</w:t>
      </w:r>
      <w:r>
        <w:t xml:space="preserve"> the topic of</w:t>
      </w:r>
      <w:r w:rsidRPr="00C036C7">
        <w:t xml:space="preserve"> interest. The lack of a sufficient return rate can prevent </w:t>
      </w:r>
      <w:r>
        <w:t>representative conclusions</w:t>
      </w:r>
      <w:r w:rsidRPr="00C036C7">
        <w:t xml:space="preserve"> from being made. Outcomes that lag </w:t>
      </w:r>
      <w:r>
        <w:t xml:space="preserve">much </w:t>
      </w:r>
      <w:r w:rsidRPr="00C036C7">
        <w:t>behind the primary outcomes are difficult to assess.</w:t>
      </w:r>
      <w:r>
        <w:t xml:space="preserve"> Yet it would be ideal to attempt information-gathering of these secondary outcomes if for no other reason but to find out what work needs to be done. For example, even with a low return rate, if many opinions suggested less than satisfactory acceptance, that would be an important finding in that we would know that at least a segment of the organization needed more buy-in opportunities than they perceived. Even low return </w:t>
      </w:r>
      <w:r>
        <w:lastRenderedPageBreak/>
        <w:t>rates can provide useful information about particular concerns with specific components of a program, at least for a subset of the participants.</w:t>
      </w:r>
    </w:p>
    <w:p w:rsidR="0046799A" w:rsidRPr="007A4680" w:rsidRDefault="0046799A" w:rsidP="0046799A">
      <w:pPr>
        <w:ind w:left="720"/>
      </w:pPr>
      <w:r w:rsidRPr="007A4680">
        <w:t>Possible questions</w:t>
      </w:r>
      <w:r>
        <w:t xml:space="preserve"> might include</w:t>
      </w:r>
      <w:r w:rsidRPr="007A4680">
        <w:t>:</w:t>
      </w:r>
    </w:p>
    <w:p w:rsidR="0046799A" w:rsidRDefault="0046799A" w:rsidP="006323CF">
      <w:pPr>
        <w:numPr>
          <w:ilvl w:val="0"/>
          <w:numId w:val="36"/>
        </w:numPr>
        <w:spacing w:after="0"/>
      </w:pPr>
      <w:r w:rsidRPr="007A4680">
        <w:t>Are all aspects of the program perceived as fair?</w:t>
      </w:r>
    </w:p>
    <w:p w:rsidR="0046799A" w:rsidRPr="007A4680" w:rsidRDefault="0046799A" w:rsidP="006323CF">
      <w:pPr>
        <w:numPr>
          <w:ilvl w:val="0"/>
          <w:numId w:val="36"/>
        </w:numPr>
        <w:spacing w:after="0"/>
      </w:pPr>
      <w:r>
        <w:t>Do employees experience a more “just” organization?</w:t>
      </w:r>
    </w:p>
    <w:p w:rsidR="0046799A" w:rsidRPr="007A4680" w:rsidRDefault="0046799A" w:rsidP="006323CF">
      <w:pPr>
        <w:numPr>
          <w:ilvl w:val="0"/>
          <w:numId w:val="36"/>
        </w:numPr>
        <w:spacing w:after="0"/>
      </w:pPr>
      <w:r w:rsidRPr="007A4680">
        <w:t>Do individuals perceive greater self-efficacy in safety improvement?</w:t>
      </w:r>
    </w:p>
    <w:p w:rsidR="0046799A" w:rsidRPr="007A4680" w:rsidRDefault="0046799A" w:rsidP="006323CF">
      <w:pPr>
        <w:pStyle w:val="ListParagraph"/>
        <w:numPr>
          <w:ilvl w:val="0"/>
          <w:numId w:val="36"/>
        </w:numPr>
        <w:spacing w:after="0" w:line="240" w:lineRule="auto"/>
        <w:contextualSpacing w:val="0"/>
        <w:rPr>
          <w:rFonts w:cs="Calibri"/>
        </w:rPr>
      </w:pPr>
      <w:r w:rsidRPr="007A4680">
        <w:rPr>
          <w:rFonts w:cs="Calibri"/>
        </w:rPr>
        <w:t>Do employees feel safer as a result of the program?</w:t>
      </w:r>
    </w:p>
    <w:p w:rsidR="0046799A" w:rsidRPr="007A4680" w:rsidRDefault="0046799A" w:rsidP="006323CF">
      <w:pPr>
        <w:pStyle w:val="ListParagraph"/>
        <w:numPr>
          <w:ilvl w:val="0"/>
          <w:numId w:val="36"/>
        </w:numPr>
        <w:spacing w:after="0" w:line="240" w:lineRule="auto"/>
        <w:contextualSpacing w:val="0"/>
        <w:rPr>
          <w:rFonts w:cs="Calibri"/>
        </w:rPr>
      </w:pPr>
      <w:r w:rsidRPr="007A4680">
        <w:rPr>
          <w:rFonts w:cs="Calibri"/>
        </w:rPr>
        <w:t>Is safety perceived as a higher organizational priority as a result of the program?</w:t>
      </w:r>
    </w:p>
    <w:p w:rsidR="0046799A" w:rsidRPr="007A4680" w:rsidRDefault="0046799A" w:rsidP="006323CF">
      <w:pPr>
        <w:pStyle w:val="ListParagraph"/>
        <w:numPr>
          <w:ilvl w:val="0"/>
          <w:numId w:val="36"/>
        </w:numPr>
        <w:spacing w:after="0" w:line="240" w:lineRule="auto"/>
        <w:contextualSpacing w:val="0"/>
        <w:rPr>
          <w:rFonts w:cs="Calibri"/>
        </w:rPr>
      </w:pPr>
      <w:r w:rsidRPr="007A4680">
        <w:rPr>
          <w:rFonts w:cs="Calibri"/>
        </w:rPr>
        <w:t>Do employees trust the program?</w:t>
      </w:r>
    </w:p>
    <w:p w:rsidR="0046799A" w:rsidRPr="007A4680" w:rsidRDefault="0046799A" w:rsidP="006323CF">
      <w:pPr>
        <w:pStyle w:val="ListParagraph"/>
        <w:numPr>
          <w:ilvl w:val="0"/>
          <w:numId w:val="36"/>
        </w:numPr>
        <w:spacing w:after="0" w:line="240" w:lineRule="auto"/>
        <w:contextualSpacing w:val="0"/>
        <w:rPr>
          <w:rFonts w:cs="Calibri"/>
        </w:rPr>
      </w:pPr>
      <w:r w:rsidRPr="007A4680">
        <w:rPr>
          <w:rFonts w:cs="Calibri"/>
        </w:rPr>
        <w:t>Has the program made a difference in the wa</w:t>
      </w:r>
      <w:r w:rsidR="009014D0">
        <w:rPr>
          <w:rFonts w:cs="Calibri"/>
        </w:rPr>
        <w:t>y employees perceive close calls</w:t>
      </w:r>
      <w:r w:rsidRPr="007A4680">
        <w:rPr>
          <w:rFonts w:cs="Calibri"/>
        </w:rPr>
        <w:t>?</w:t>
      </w:r>
    </w:p>
    <w:p w:rsidR="0046799A" w:rsidRPr="007A4680" w:rsidRDefault="0046799A" w:rsidP="006323CF">
      <w:pPr>
        <w:pStyle w:val="ListParagraph"/>
        <w:numPr>
          <w:ilvl w:val="0"/>
          <w:numId w:val="36"/>
        </w:numPr>
        <w:spacing w:after="0" w:line="240" w:lineRule="auto"/>
        <w:contextualSpacing w:val="0"/>
        <w:rPr>
          <w:rFonts w:cs="Calibri"/>
        </w:rPr>
      </w:pPr>
      <w:r w:rsidRPr="007A4680">
        <w:rPr>
          <w:rFonts w:cs="Calibri"/>
        </w:rPr>
        <w:t xml:space="preserve">Has the program made a difference in the </w:t>
      </w:r>
      <w:r w:rsidR="009014D0">
        <w:rPr>
          <w:rFonts w:cs="Calibri"/>
        </w:rPr>
        <w:t>way employees act on close calls</w:t>
      </w:r>
      <w:r w:rsidRPr="007A4680">
        <w:rPr>
          <w:rFonts w:cs="Calibri"/>
        </w:rPr>
        <w:t>?</w:t>
      </w:r>
    </w:p>
    <w:p w:rsidR="0046799A" w:rsidRPr="007A4680" w:rsidRDefault="0046799A" w:rsidP="006323CF">
      <w:pPr>
        <w:pStyle w:val="ListParagraph"/>
        <w:numPr>
          <w:ilvl w:val="0"/>
          <w:numId w:val="36"/>
        </w:numPr>
        <w:spacing w:after="0" w:line="240" w:lineRule="auto"/>
        <w:contextualSpacing w:val="0"/>
        <w:rPr>
          <w:rFonts w:cs="Calibri"/>
        </w:rPr>
      </w:pPr>
      <w:r w:rsidRPr="007A4680">
        <w:rPr>
          <w:rFonts w:cs="Calibri"/>
        </w:rPr>
        <w:t>Are employees more likely to evaluate/analyze near</w:t>
      </w:r>
      <w:r>
        <w:rPr>
          <w:rFonts w:cs="Calibri"/>
        </w:rPr>
        <w:t>-</w:t>
      </w:r>
      <w:r w:rsidRPr="007A4680">
        <w:rPr>
          <w:rFonts w:cs="Calibri"/>
        </w:rPr>
        <w:t>miss situations?</w:t>
      </w:r>
    </w:p>
    <w:p w:rsidR="0046799A" w:rsidRDefault="0046799A" w:rsidP="006323CF">
      <w:pPr>
        <w:pStyle w:val="ListParagraph"/>
        <w:numPr>
          <w:ilvl w:val="0"/>
          <w:numId w:val="36"/>
        </w:numPr>
        <w:spacing w:after="0" w:line="240" w:lineRule="auto"/>
        <w:contextualSpacing w:val="0"/>
        <w:rPr>
          <w:rFonts w:cs="Calibri"/>
        </w:rPr>
      </w:pPr>
      <w:r w:rsidRPr="007A4680">
        <w:rPr>
          <w:rFonts w:cs="Calibri"/>
        </w:rPr>
        <w:t>Do employees perceive the program to be valuable?</w:t>
      </w:r>
    </w:p>
    <w:p w:rsidR="0046799A" w:rsidRDefault="0046799A" w:rsidP="006323CF">
      <w:pPr>
        <w:pStyle w:val="ListParagraph"/>
        <w:numPr>
          <w:ilvl w:val="0"/>
          <w:numId w:val="36"/>
        </w:numPr>
        <w:spacing w:after="0" w:line="240" w:lineRule="auto"/>
        <w:contextualSpacing w:val="0"/>
        <w:rPr>
          <w:rFonts w:cs="Calibri"/>
        </w:rPr>
      </w:pPr>
      <w:r>
        <w:rPr>
          <w:rFonts w:cs="Calibri"/>
        </w:rPr>
        <w:t>What components of the program need changing and why?</w:t>
      </w:r>
    </w:p>
    <w:p w:rsidR="0046799A" w:rsidRDefault="0046799A" w:rsidP="006323CF">
      <w:pPr>
        <w:pStyle w:val="ListParagraph"/>
        <w:numPr>
          <w:ilvl w:val="0"/>
          <w:numId w:val="36"/>
        </w:numPr>
        <w:spacing w:after="0" w:line="240" w:lineRule="auto"/>
        <w:contextualSpacing w:val="0"/>
        <w:rPr>
          <w:rFonts w:cs="Calibri"/>
        </w:rPr>
      </w:pPr>
      <w:r>
        <w:rPr>
          <w:rFonts w:cs="Calibri"/>
        </w:rPr>
        <w:t>Are employees finding their job more satisfying after the pilot?</w:t>
      </w:r>
    </w:p>
    <w:p w:rsidR="0046799A" w:rsidRPr="007A4680" w:rsidRDefault="0046799A" w:rsidP="0046799A">
      <w:pPr>
        <w:pStyle w:val="ListParagraph"/>
        <w:ind w:left="2160"/>
        <w:rPr>
          <w:rFonts w:cs="Calibri"/>
        </w:rPr>
      </w:pPr>
    </w:p>
    <w:p w:rsidR="0046799A" w:rsidRPr="00947533" w:rsidRDefault="0046799A" w:rsidP="006323CF">
      <w:pPr>
        <w:numPr>
          <w:ilvl w:val="0"/>
          <w:numId w:val="38"/>
        </w:numPr>
        <w:rPr>
          <w:b/>
        </w:rPr>
      </w:pPr>
      <w:r w:rsidRPr="00947533">
        <w:rPr>
          <w:b/>
        </w:rPr>
        <w:t>Possible existing attitude scales:</w:t>
      </w:r>
    </w:p>
    <w:p w:rsidR="0046799A" w:rsidRDefault="0046799A" w:rsidP="006323CF">
      <w:pPr>
        <w:numPr>
          <w:ilvl w:val="1"/>
          <w:numId w:val="38"/>
        </w:numPr>
        <w:spacing w:after="0"/>
      </w:pPr>
      <w:r>
        <w:t>Safety Culture and Climate attitudes or sub-scales, and changes due to the program</w:t>
      </w:r>
      <w:r w:rsidR="00B2235E">
        <w:t>;</w:t>
      </w:r>
      <w:r>
        <w:t xml:space="preserve"> i.e., measures before and after the program.</w:t>
      </w:r>
    </w:p>
    <w:p w:rsidR="0046799A" w:rsidRDefault="0046799A" w:rsidP="006323CF">
      <w:pPr>
        <w:numPr>
          <w:ilvl w:val="1"/>
          <w:numId w:val="38"/>
        </w:numPr>
        <w:spacing w:after="0"/>
      </w:pPr>
      <w:r>
        <w:t>Job satisfaction scales or sub-scales, and changes due to the program.</w:t>
      </w:r>
    </w:p>
    <w:p w:rsidR="0046799A" w:rsidRDefault="0046799A" w:rsidP="006323CF">
      <w:pPr>
        <w:numPr>
          <w:ilvl w:val="1"/>
          <w:numId w:val="38"/>
        </w:numPr>
      </w:pPr>
      <w:r>
        <w:t>Organization Citizenship Behavior scales or sub-scales, and changes due to the program.</w:t>
      </w:r>
    </w:p>
    <w:p w:rsidR="0046799A" w:rsidRPr="00947533" w:rsidRDefault="0046799A" w:rsidP="006323CF">
      <w:pPr>
        <w:numPr>
          <w:ilvl w:val="0"/>
          <w:numId w:val="38"/>
        </w:numPr>
        <w:rPr>
          <w:b/>
        </w:rPr>
      </w:pPr>
      <w:r w:rsidRPr="00947533">
        <w:rPr>
          <w:b/>
        </w:rPr>
        <w:t>Possible behavioral measures:</w:t>
      </w:r>
    </w:p>
    <w:p w:rsidR="0046799A" w:rsidRDefault="0046799A" w:rsidP="006323CF">
      <w:pPr>
        <w:numPr>
          <w:ilvl w:val="1"/>
          <w:numId w:val="38"/>
        </w:numPr>
        <w:spacing w:after="0"/>
      </w:pPr>
      <w:r>
        <w:t>Change in frequency of grievances.</w:t>
      </w:r>
    </w:p>
    <w:p w:rsidR="0046799A" w:rsidRDefault="0046799A" w:rsidP="006323CF">
      <w:pPr>
        <w:numPr>
          <w:ilvl w:val="1"/>
          <w:numId w:val="38"/>
        </w:numPr>
        <w:spacing w:after="0"/>
      </w:pPr>
      <w:r>
        <w:t>Absenteeism changes.</w:t>
      </w:r>
    </w:p>
    <w:p w:rsidR="0046799A" w:rsidRPr="007A4680" w:rsidRDefault="0046799A" w:rsidP="006323CF">
      <w:pPr>
        <w:numPr>
          <w:ilvl w:val="1"/>
          <w:numId w:val="38"/>
        </w:numPr>
        <w:spacing w:after="0"/>
      </w:pPr>
      <w:r>
        <w:t>Change in frequency of</w:t>
      </w:r>
      <w:r w:rsidR="00295DAF">
        <w:t xml:space="preserve"> reported</w:t>
      </w:r>
      <w:r>
        <w:t xml:space="preserve"> soft</w:t>
      </w:r>
      <w:r w:rsidR="00295DAF">
        <w:t xml:space="preserve"> tissue</w:t>
      </w:r>
      <w:r>
        <w:t xml:space="preserve"> injuries</w:t>
      </w:r>
      <w:r w:rsidR="00295DAF">
        <w:t xml:space="preserve"> where there is no hard evidence of injury</w:t>
      </w:r>
      <w:r>
        <w:t>.</w:t>
      </w:r>
    </w:p>
    <w:p w:rsidR="00517E77" w:rsidRDefault="00517E77" w:rsidP="00517E77">
      <w:pPr>
        <w:jc w:val="center"/>
        <w:rPr>
          <w:b/>
          <w:bCs/>
          <w:color w:val="8C1E1E"/>
          <w:sz w:val="28"/>
          <w:szCs w:val="28"/>
        </w:rPr>
        <w:sectPr w:rsidR="00517E77" w:rsidSect="009B2615">
          <w:footerReference w:type="default" r:id="rId31"/>
          <w:pgSz w:w="12240" w:h="15840" w:code="1"/>
          <w:pgMar w:top="1440" w:right="1440" w:bottom="1440" w:left="1440" w:header="720" w:footer="720" w:gutter="0"/>
          <w:pgNumType w:start="1"/>
          <w:cols w:space="720"/>
          <w:docGrid w:linePitch="360"/>
        </w:sectPr>
      </w:pPr>
    </w:p>
    <w:p w:rsidR="00517E77" w:rsidRPr="00517E77" w:rsidRDefault="00517E77" w:rsidP="00517E77">
      <w:pPr>
        <w:pStyle w:val="Heading1"/>
      </w:pPr>
      <w:r w:rsidRPr="00517E77">
        <w:lastRenderedPageBreak/>
        <w:t>Appendix D</w:t>
      </w:r>
      <w:r>
        <w:t xml:space="preserve">: </w:t>
      </w:r>
      <w:r w:rsidRPr="00517E77">
        <w:t>Certificates of Confidentiality</w:t>
      </w:r>
    </w:p>
    <w:p w:rsidR="001A2174" w:rsidRDefault="001A2174" w:rsidP="001A2174">
      <w:pPr>
        <w:rPr>
          <w:rFonts w:cs="Calibri"/>
          <w:color w:val="FF0000"/>
        </w:rPr>
      </w:pPr>
    </w:p>
    <w:p w:rsidR="001A2174" w:rsidRDefault="001A2174" w:rsidP="001A2174">
      <w:pPr>
        <w:rPr>
          <w:rFonts w:cs="Calibri"/>
        </w:rPr>
      </w:pPr>
      <w:r w:rsidRPr="001A2174">
        <w:rPr>
          <w:rFonts w:cs="Calibri"/>
        </w:rPr>
        <w:t xml:space="preserve">Another possible alternative to ensure confidentiality of the </w:t>
      </w:r>
      <w:r w:rsidR="008D7209">
        <w:rPr>
          <w:rFonts w:cs="Calibri"/>
        </w:rPr>
        <w:t>close call</w:t>
      </w:r>
      <w:r w:rsidRPr="001A2174">
        <w:rPr>
          <w:rFonts w:cs="Calibri"/>
        </w:rPr>
        <w:t xml:space="preserve"> </w:t>
      </w:r>
      <w:r>
        <w:rPr>
          <w:rFonts w:cs="Calibri"/>
        </w:rPr>
        <w:t xml:space="preserve">safety </w:t>
      </w:r>
      <w:r w:rsidRPr="001A2174">
        <w:rPr>
          <w:rFonts w:cs="Calibri"/>
        </w:rPr>
        <w:t xml:space="preserve">reporting </w:t>
      </w:r>
      <w:r>
        <w:rPr>
          <w:rFonts w:cs="Calibri"/>
        </w:rPr>
        <w:t xml:space="preserve">system </w:t>
      </w:r>
      <w:r w:rsidRPr="001A2174">
        <w:rPr>
          <w:rFonts w:cs="Calibri"/>
        </w:rPr>
        <w:t xml:space="preserve">is the Certificate of Confidentiality (COC) provided by the National Institutes of Health </w:t>
      </w:r>
      <w:r w:rsidRPr="001A2174">
        <w:t xml:space="preserve">(NIH). Traditionally used for research projects, COCs protect identifiable research information from forced disclosure in any civil, criminal, administrative, legislative, or other proceeding, whether at the </w:t>
      </w:r>
      <w:r w:rsidR="00556012">
        <w:t>F</w:t>
      </w:r>
      <w:r w:rsidRPr="001A2174">
        <w:t xml:space="preserve">ederal, </w:t>
      </w:r>
      <w:r w:rsidR="00556012">
        <w:t>S</w:t>
      </w:r>
      <w:r w:rsidRPr="001A2174">
        <w:t>tate, or local level</w:t>
      </w:r>
      <w:r w:rsidRPr="001A2174">
        <w:rPr>
          <w:rFonts w:cs="Calibri"/>
        </w:rPr>
        <w:t xml:space="preserve">. It may be possible to apply for a COC from NIH for a </w:t>
      </w:r>
      <w:r w:rsidR="00112AF9">
        <w:rPr>
          <w:rFonts w:cs="Calibri"/>
        </w:rPr>
        <w:t xml:space="preserve">confidential, non-punitive, </w:t>
      </w:r>
      <w:r w:rsidR="008D7209">
        <w:rPr>
          <w:rFonts w:cs="Calibri"/>
        </w:rPr>
        <w:t>close call</w:t>
      </w:r>
      <w:r w:rsidRPr="001A2174">
        <w:rPr>
          <w:rFonts w:cs="Calibri"/>
        </w:rPr>
        <w:t xml:space="preserve"> reporting program on the basis that injuries and fatalities </w:t>
      </w:r>
      <w:r w:rsidR="00112AF9">
        <w:rPr>
          <w:rFonts w:cs="Calibri"/>
        </w:rPr>
        <w:t xml:space="preserve">are a national health hazard. </w:t>
      </w:r>
      <w:r w:rsidRPr="001A2174">
        <w:rPr>
          <w:rFonts w:cs="Calibri"/>
        </w:rPr>
        <w:t>However, the TRACS Working Group recommends that FTA conduct a legal analysis regarding the applicability and suitability of COCs to protect close call reporting program data.</w:t>
      </w:r>
    </w:p>
    <w:p w:rsidR="00112AF9" w:rsidRPr="00AC04D2" w:rsidRDefault="00112AF9" w:rsidP="001A2174">
      <w:pPr>
        <w:rPr>
          <w:rFonts w:cs="Calibri"/>
          <w:b/>
        </w:rPr>
      </w:pPr>
      <w:r w:rsidRPr="00AC04D2">
        <w:rPr>
          <w:rFonts w:cs="Calibri"/>
          <w:b/>
        </w:rPr>
        <w:t>What follows is a reprinting of guidance published by NIH on the purpose of COCs, the statutory authority that enables NIH to issue them, and the extent and limitations under which they can be used.</w:t>
      </w:r>
      <w:r w:rsidR="00AC04D2" w:rsidRPr="00AC04D2">
        <w:rPr>
          <w:rStyle w:val="FootnoteReference"/>
        </w:rPr>
        <w:t xml:space="preserve"> </w:t>
      </w:r>
      <w:r w:rsidR="00AC04D2">
        <w:rPr>
          <w:rStyle w:val="FootnoteReference"/>
        </w:rPr>
        <w:footnoteReference w:id="12"/>
      </w:r>
    </w:p>
    <w:p w:rsidR="00517E77" w:rsidRDefault="00517E77" w:rsidP="00291C16">
      <w:pPr>
        <w:pStyle w:val="Heading2"/>
      </w:pPr>
      <w:r>
        <w:t>Purpose</w:t>
      </w:r>
    </w:p>
    <w:p w:rsidR="00517E77" w:rsidRDefault="00517E77" w:rsidP="00291C16">
      <w:r>
        <w:t>Certificates of C</w:t>
      </w:r>
      <w:r w:rsidR="00112AF9">
        <w:t>onfidentiality are issued by NIH</w:t>
      </w:r>
      <w:r>
        <w:t xml:space="preserve"> to protect the privacy of research subjects by protecting investigators and institutions from being compelled to release information that could be used to identify subjects with a research project. Certificates of Confidentiality are issued to institutions or universities where the research is conducted. They allow the investigator and others who have access to research records to refuse to disclose identifying information in any civil, criminal, administrative, legislative, or other proceeding, whether at the </w:t>
      </w:r>
      <w:r w:rsidR="007E5C2A">
        <w:t>F</w:t>
      </w:r>
      <w:r>
        <w:t xml:space="preserve">ederal, </w:t>
      </w:r>
      <w:r w:rsidR="007E5C2A">
        <w:t>S</w:t>
      </w:r>
      <w:r>
        <w:t>tate, or local level.</w:t>
      </w:r>
    </w:p>
    <w:p w:rsidR="00517E77" w:rsidRDefault="00517E77" w:rsidP="00291C16">
      <w:r>
        <w:t xml:space="preserve">Identifying information is broadly defined as any item or combination of items in the research data that could lead directly or indirectly to the identification of a research subject. </w:t>
      </w:r>
    </w:p>
    <w:p w:rsidR="00517E77" w:rsidRPr="00291C16" w:rsidRDefault="00517E77" w:rsidP="00291C16">
      <w:r>
        <w:t>By protecting researchers and institutions from being compelled to disclose information that would identify research participants, Certificates of Confidentiality help achieve the research objectives and promote participation in studies b</w:t>
      </w:r>
      <w:r w:rsidR="00291C16">
        <w:t>y assuring privacy to subjects.</w:t>
      </w:r>
    </w:p>
    <w:p w:rsidR="00517E77" w:rsidRDefault="00517E77" w:rsidP="00291C16">
      <w:pPr>
        <w:pStyle w:val="Heading2"/>
      </w:pPr>
      <w:r>
        <w:t>Statutory Authority</w:t>
      </w:r>
    </w:p>
    <w:p w:rsidR="00517E77" w:rsidRDefault="00517E77" w:rsidP="00291C16">
      <w:r>
        <w:t>Under section 301(d) of the Public Health Service Act (42 U.S.C. 241(d)) the Secretary of Health and Human Services may authorize persons engaged in biomedical, behavioral, clinical, or other research to protect the privacy of individuals who are the subjects of that research. This authority has been delegated to the National Institutes of Health (NIH).</w:t>
      </w:r>
    </w:p>
    <w:p w:rsidR="00517E77" w:rsidRPr="00291C16" w:rsidRDefault="00517E77" w:rsidP="00291C16">
      <w:r>
        <w:lastRenderedPageBreak/>
        <w:t>Persons authorized by the NIH to protect the privacy of research subjects may not be compelled in any Federal, State, or local civil, criminal, administrative, legislative, or other proceedings to identify them by name or ot</w:t>
      </w:r>
      <w:r w:rsidR="00291C16">
        <w:t>her identifying characteristic.</w:t>
      </w:r>
    </w:p>
    <w:p w:rsidR="00517E77" w:rsidRDefault="00517E77" w:rsidP="00291C16">
      <w:pPr>
        <w:pStyle w:val="Heading2"/>
      </w:pPr>
      <w:r>
        <w:t>Extent and Limitations of Coverage</w:t>
      </w:r>
    </w:p>
    <w:p w:rsidR="00517E77" w:rsidRDefault="00517E77" w:rsidP="00291C16">
      <w:r>
        <w:t>Certificates can be used for biomedical, behavioral, clinical</w:t>
      </w:r>
      <w:r w:rsidR="00B74CE8">
        <w:t>,</w:t>
      </w:r>
      <w:r>
        <w:t xml:space="preserve"> or other types of research that is sensitive. By sensitive, we mean that disclosure of identifying information could have adverse consequences for subjects or damage their financial standing, employability, insurability, or reputation.</w:t>
      </w:r>
    </w:p>
    <w:p w:rsidR="00291C16" w:rsidRDefault="00291C16" w:rsidP="00291C16">
      <w:r>
        <w:t xml:space="preserve"> </w:t>
      </w:r>
      <w:r w:rsidR="00517E77">
        <w:t>Examples of sensitive research activities include but are not limited to the following:</w:t>
      </w:r>
    </w:p>
    <w:p w:rsidR="00517E77" w:rsidRDefault="00517E77" w:rsidP="006323CF">
      <w:pPr>
        <w:numPr>
          <w:ilvl w:val="0"/>
          <w:numId w:val="39"/>
        </w:numPr>
      </w:pPr>
      <w:r>
        <w:t xml:space="preserve">Collecting genetic information; </w:t>
      </w:r>
    </w:p>
    <w:p w:rsidR="00517E77" w:rsidRDefault="00517E77" w:rsidP="006323CF">
      <w:pPr>
        <w:numPr>
          <w:ilvl w:val="0"/>
          <w:numId w:val="39"/>
        </w:numPr>
      </w:pPr>
      <w:r>
        <w:t xml:space="preserve">Collecting information on psychological well-being of subjects; </w:t>
      </w:r>
    </w:p>
    <w:p w:rsidR="00517E77" w:rsidRDefault="00517E77" w:rsidP="006323CF">
      <w:pPr>
        <w:numPr>
          <w:ilvl w:val="0"/>
          <w:numId w:val="39"/>
        </w:numPr>
      </w:pPr>
      <w:r>
        <w:t xml:space="preserve">Collecting information on subjects' sexual attitudes, preferences or practices; </w:t>
      </w:r>
    </w:p>
    <w:p w:rsidR="00517E77" w:rsidRDefault="00517E77" w:rsidP="006323CF">
      <w:pPr>
        <w:numPr>
          <w:ilvl w:val="0"/>
          <w:numId w:val="39"/>
        </w:numPr>
      </w:pPr>
      <w:r>
        <w:t xml:space="preserve">Collecting data on substance abuse or other illegal risk behaviors; </w:t>
      </w:r>
    </w:p>
    <w:p w:rsidR="00517E77" w:rsidRDefault="00517E77" w:rsidP="006323CF">
      <w:pPr>
        <w:numPr>
          <w:ilvl w:val="0"/>
          <w:numId w:val="39"/>
        </w:numPr>
      </w:pPr>
      <w:r>
        <w:t xml:space="preserve">Studies where subjects may be involved in litigation related to exposures under study (e.g., breast implants, environmental or occupational exposures). </w:t>
      </w:r>
    </w:p>
    <w:p w:rsidR="00517E77" w:rsidRDefault="00517E77" w:rsidP="00291C16">
      <w:r>
        <w:t>In general, certificates are issued for single, well-defined research projects rather than groups or classes of projects. In some instances, they can be issued for cooperative multi-site projects. A coordinating center or "lead" institution designated by the NIH program officer can apply on behalf of all institutions associated with the multi-site project. The lead institution must ensure that all participating institutions conform to the application assurances and inform participants appropriately about the Certificate, its protections, and the circumstances in which voluntary disclosures would be made.</w:t>
      </w:r>
    </w:p>
    <w:p w:rsidR="00517E77" w:rsidRDefault="00517E77" w:rsidP="00291C16">
      <w:r>
        <w:t>A Certificate of Confidentiality protects personally identifiable information about subjects in the research project while the Certificate is in effect. Generally, Certificates are effective on the date of issuance or upon commencement of the research project if that occurs after the date of issuance. The expiration date should correspond to the completion of the study. The Certificate will state the date upon which it becomes effective and the date upon which it expires. A Certificate of Confidentiality protects all information identifiable to any individual who participates as a research subject (i.e., about whom the investigator maintains identifying information) during any time the Certificate is in effect. An extension of coverage must be requested if the research extends beyond the expiration date of the original Certificate. However, the protection afforded by the Certificate is permanent. All personally identifiable information maintained about participants in the project while the Certificate is in effe</w:t>
      </w:r>
      <w:r w:rsidR="00291C16">
        <w:t xml:space="preserve">ct is protected in perpetuity. </w:t>
      </w:r>
    </w:p>
    <w:p w:rsidR="00517E77" w:rsidRDefault="00517E77" w:rsidP="00291C16">
      <w:r>
        <w:lastRenderedPageBreak/>
        <w:t>Some projects are ineligible for a Certificate of Confidentiality. Not eligible for a Certificate are projects that are:</w:t>
      </w:r>
    </w:p>
    <w:p w:rsidR="00517E77" w:rsidRDefault="00517E77" w:rsidP="006323CF">
      <w:pPr>
        <w:numPr>
          <w:ilvl w:val="0"/>
          <w:numId w:val="40"/>
        </w:numPr>
      </w:pPr>
      <w:r>
        <w:t xml:space="preserve">not research, </w:t>
      </w:r>
    </w:p>
    <w:p w:rsidR="00517E77" w:rsidRDefault="00517E77" w:rsidP="006323CF">
      <w:pPr>
        <w:numPr>
          <w:ilvl w:val="0"/>
          <w:numId w:val="40"/>
        </w:numPr>
      </w:pPr>
      <w:r>
        <w:t xml:space="preserve">not collecting personally identifiable information, </w:t>
      </w:r>
    </w:p>
    <w:p w:rsidR="00517E77" w:rsidRDefault="00517E77" w:rsidP="006323CF">
      <w:pPr>
        <w:numPr>
          <w:ilvl w:val="0"/>
          <w:numId w:val="40"/>
        </w:numPr>
      </w:pPr>
      <w:r>
        <w:t>not reviewed and approved by the</w:t>
      </w:r>
      <w:r w:rsidR="00AC04D2">
        <w:t xml:space="preserve"> Institutional Review Board </w:t>
      </w:r>
      <w:r>
        <w:t xml:space="preserve">as required by these guidelines, or </w:t>
      </w:r>
    </w:p>
    <w:p w:rsidR="00517E77" w:rsidRPr="00291C16" w:rsidRDefault="00517E77" w:rsidP="006323CF">
      <w:pPr>
        <w:numPr>
          <w:ilvl w:val="0"/>
          <w:numId w:val="40"/>
        </w:numPr>
      </w:pPr>
      <w:r>
        <w:t xml:space="preserve">collecting information that if disclosed would not significantly harm or damage the participant. </w:t>
      </w:r>
    </w:p>
    <w:p w:rsidR="00517E77" w:rsidRDefault="00517E77" w:rsidP="00291C16">
      <w:r>
        <w:t xml:space="preserve">While Certificates protect against involuntary disclosure, investigators should note that research subjects might voluntarily disclose their research data or information. Subjects may disclose information to physicians or other third parties. They may also authorize in writing the investigator to release the information to insurers, employers, or other third parties. In such cases, researchers may not use the Certificate to refuse disclosure. Moreover, researchers are not prevented from the voluntary disclosure of matters such as child abuse, reportable communicable diseases, or subject's threatened violence to self or others. (For information on communicable disease reporting policy, see </w:t>
      </w:r>
      <w:hyperlink r:id="rId32" w:history="1">
        <w:r>
          <w:rPr>
            <w:rStyle w:val="Hyperlink"/>
            <w:rFonts w:ascii="Palatino Linotype" w:hAnsi="Palatino Linotype"/>
          </w:rPr>
          <w:t>Communicable Diseases Policy</w:t>
        </w:r>
      </w:hyperlink>
      <w:r>
        <w:t>. However, if the researcher intends to make any voluntary disclosures, the consent form must specify such disclosure.</w:t>
      </w:r>
    </w:p>
    <w:p w:rsidR="00517E77" w:rsidRDefault="00517E77" w:rsidP="00291C16">
      <w:r>
        <w:t xml:space="preserve">Certificates do not authorize researchers to refuse to disclose information about subjects if authorized </w:t>
      </w:r>
      <w:r w:rsidR="00112AF9">
        <w:t>Department of Health and Human Services (</w:t>
      </w:r>
      <w:r>
        <w:t>DHHS</w:t>
      </w:r>
      <w:r w:rsidR="00112AF9">
        <w:t>)</w:t>
      </w:r>
      <w:r>
        <w:t xml:space="preserve"> personnel request such information for an audit or program evaluation. Neither can researchers refuse to disclose such information if it is required to be disclosed by the Federal Food, Drug, and Cosmetic Act. </w:t>
      </w:r>
    </w:p>
    <w:p w:rsidR="00517E77" w:rsidRPr="00291C16" w:rsidRDefault="00517E77" w:rsidP="00291C16">
      <w:r>
        <w:t xml:space="preserve">In the informed consent form, investigators should tell research subjects that a Certificate is in effect. Subjects should be given a fair and clear explanation of the protection that it affords, including the limitations and exceptions noted above. Every research project that includes human research subjects should explain how identifiable information will be used or disclosed, regardless of whether or not a Certificate is in effect. The Office of Human Subjects Protection (OHRP) provides guidance on the content of informed consent documents. For additional information, see </w:t>
      </w:r>
      <w:hyperlink r:id="rId33" w:history="1">
        <w:r>
          <w:rPr>
            <w:rStyle w:val="Hyperlink"/>
            <w:rFonts w:ascii="Palatino Linotype" w:hAnsi="Palatino Linotype"/>
          </w:rPr>
          <w:t>http://www.hhs.gov/ohrp/archive/irb/irb_chapter3.htm</w:t>
        </w:r>
      </w:hyperlink>
    </w:p>
    <w:p w:rsidR="00517E77" w:rsidRDefault="00517E77" w:rsidP="00291C16">
      <w:pPr>
        <w:pStyle w:val="Heading2"/>
      </w:pPr>
      <w:r>
        <w:t>An Important Caveat</w:t>
      </w:r>
    </w:p>
    <w:p w:rsidR="00517E77" w:rsidRPr="00291C16" w:rsidRDefault="00517E77" w:rsidP="00291C16">
      <w:pPr>
        <w:rPr>
          <w:i/>
        </w:rPr>
      </w:pPr>
      <w:r w:rsidRPr="00291C16">
        <w:rPr>
          <w:i/>
        </w:rPr>
        <w:t xml:space="preserve">Certificates of Confidentiality do not take the place of good data security or clear policies and procedures for data protection, which are essential to the protection of research participants' privacy. Researchers should take appropriate steps to safeguard research data and findings. Unauthorized individuals must not access the research data or learn the identity of research participants. </w:t>
      </w:r>
    </w:p>
    <w:p w:rsidR="00517E77" w:rsidRDefault="00517E77" w:rsidP="00291C16">
      <w:pPr>
        <w:pStyle w:val="Heading2"/>
      </w:pPr>
      <w:r>
        <w:lastRenderedPageBreak/>
        <w:t>Instructions for Applicants</w:t>
      </w:r>
    </w:p>
    <w:p w:rsidR="00517E77" w:rsidRPr="00291C16" w:rsidRDefault="00517E77" w:rsidP="00291C16">
      <w:r>
        <w:t xml:space="preserve">Any person engaged in research collecting sensitive information from human research subjects may apply for a Certificate of Confidentiality. NIH is authorized to issue this privacy protection, in its discretion, for important research within its mission areas. The purpose of this statutory authorization is, in part, to reduce impediments to biomedical/bio-behavioral research subject recruitment. NIH provides detailed instructions for investigators wishing to make an application. Detailed application instructions for extramural scientists can be found at </w:t>
      </w:r>
      <w:hyperlink r:id="rId34" w:history="1">
        <w:r>
          <w:rPr>
            <w:rStyle w:val="Hyperlink"/>
            <w:rFonts w:ascii="Palatino Linotype" w:hAnsi="Palatino Linotype"/>
          </w:rPr>
          <w:t>http://grants.nih.gov/grants/policy/coc/appl_extramural.htm</w:t>
        </w:r>
      </w:hyperlink>
      <w:r>
        <w:t xml:space="preserve">. Detailed application instructions for intramural scientists can be found at </w:t>
      </w:r>
      <w:hyperlink r:id="rId35" w:history="1">
        <w:r>
          <w:rPr>
            <w:rStyle w:val="Hyperlink"/>
            <w:rFonts w:ascii="Palatino Linotype" w:hAnsi="Palatino Linotype"/>
          </w:rPr>
          <w:t>http://grants.nih.gov/grants/policy/coc/appl_intramural.htm</w:t>
        </w:r>
      </w:hyperlink>
      <w:r>
        <w:t xml:space="preserve">. Additional information is available on the </w:t>
      </w:r>
      <w:hyperlink r:id="rId36" w:history="1">
        <w:r>
          <w:rPr>
            <w:rStyle w:val="Hyperlink"/>
            <w:rFonts w:ascii="Palatino Linotype" w:hAnsi="Palatino Linotype"/>
          </w:rPr>
          <w:t>Frequently Asked Questions</w:t>
        </w:r>
      </w:hyperlink>
      <w:r>
        <w:t xml:space="preserve"> page.</w:t>
      </w:r>
    </w:p>
    <w:p w:rsidR="00517E77" w:rsidRDefault="00517E77" w:rsidP="00291C16">
      <w:r>
        <w:t xml:space="preserve">The application, which should be submitted on the research institution's letterhead, requires information about the PI, the grantee institution, and the project. However, on a case-by-case basis, some NIH Institutes and Centers (ICs) may require additional information in order to assist them in carrying out their discretionary authority to issue Certificates of Confidentiality. Therefore, it is important that applicants consult their funding IC prior to submitting an application for a Certificate of Confidentiality. Investigators conducting sensitive research that is not supported with NIH funds may apply for a certificate through the NIH. They should contact the NIH IC that supports work in the same substantive area. Alternatively, they can contact one of the ICs serving as a Central Certificate Resource. For a list of Certificate contacts, see </w:t>
      </w:r>
      <w:hyperlink r:id="rId37" w:history="1">
        <w:r>
          <w:rPr>
            <w:rStyle w:val="Hyperlink"/>
            <w:rFonts w:ascii="Palatino Linotype" w:hAnsi="Palatino Linotype"/>
          </w:rPr>
          <w:t>http://grants.nih.gov/grants/policy/coc/contacts.htm</w:t>
        </w:r>
      </w:hyperlink>
      <w:r>
        <w:t xml:space="preserve">. </w:t>
      </w:r>
    </w:p>
    <w:p w:rsidR="00517E77" w:rsidRDefault="00517E77" w:rsidP="00291C16">
      <w:r>
        <w:t>In addition to the completed form, the Principal Investigator (PI) will be required to provide documentation of Institutional Review Board (IRB) approval and a copy of the informed consent forms as it would read if a Certificate of Confidentiality is obtained – explaining the Certificate, its protections and the circumstances in which voluntary disclosures might be made, i.e. to protect the subject or others from serious harm. The completed package should be sent to the Certificate Coordinator at the appropriate NIH IC.</w:t>
      </w:r>
    </w:p>
    <w:p w:rsidR="00517E77" w:rsidRDefault="00517E77" w:rsidP="00291C16">
      <w:r>
        <w:t>In cases where a Certificate of Confidentiality is sought for a student research project, the letter of application must be submitted on institutional stationery and signed by three people: the student, the student's advisor or other appropriate faculty member, and the Institutional Official. Also, NIH prefers that the faculty sponsor be designated as the PI on such applications instead of the student; a post-doctoral student can be listed as the co-PI. Moreover, the IRB approval for a student research project must be issued jointly to the student and the advisor or to the advi</w:t>
      </w:r>
      <w:r w:rsidR="00291C16">
        <w:t>sor with a copy to the student.</w:t>
      </w:r>
    </w:p>
    <w:p w:rsidR="00517E77" w:rsidRDefault="00517E77" w:rsidP="00291C16">
      <w:r>
        <w:t xml:space="preserve">The Certificate is issued by the NIH based on the application from the PI for a specific research project. The Certificate is granted to the investigator's institution. If more than one institution is participating in a multi-site project, the PI at the coordinating center or "lead" institution applies for the Certificate on behalf of all sites, listing each participating unit, its address and project director in the application. A </w:t>
      </w:r>
      <w:r>
        <w:lastRenderedPageBreak/>
        <w:t>single Certificate for such multi-site projects is issued, and the lead institution is responsible for distributing copies of the Certificate to ea</w:t>
      </w:r>
      <w:r w:rsidR="00291C16">
        <w:t xml:space="preserve">ch participating unit or site. </w:t>
      </w:r>
    </w:p>
    <w:p w:rsidR="00517E77" w:rsidRPr="00291C16" w:rsidRDefault="00517E77" w:rsidP="00291C16">
      <w:r>
        <w:t>If the PI relocates to a new institution during the course of the project, he or she should apply for an amendment to the existing Certificate. If there are significant modifications to the project or the informed consent form, the PI should contact the Certificate Coordinator that issued the Certificate. Significant changes to the project may require a modification to the existing Certificate or an application for a new Certificate if there is substantial change in the scope of research. If the project is not completed in the time specified in the application for the Certificate, the PI should apply for an extension to the expected date of completion of the project. Requests for modifications, amendments, and extensions should be submitted three months prior to the date needed and should be accompanied by a reason for requesting it and documentation of</w:t>
      </w:r>
      <w:r w:rsidR="00291C16">
        <w:t xml:space="preserve"> the most recent IRB approval. </w:t>
      </w:r>
    </w:p>
    <w:p w:rsidR="00517E77" w:rsidRDefault="00517E77" w:rsidP="00291C16">
      <w:r>
        <w:t xml:space="preserve">Both the PI and the Institutional Official are required to sign the Certificate application. In doing so, they are agreeing to the assurances as stated in the application form. (See </w:t>
      </w:r>
      <w:hyperlink r:id="rId38" w:history="1">
        <w:r>
          <w:rPr>
            <w:rStyle w:val="Hyperlink"/>
            <w:rFonts w:ascii="Palatino Linotype" w:hAnsi="Palatino Linotype"/>
          </w:rPr>
          <w:t>http://grants.nih.gov/grants/policy/coc/appl_extramural.htm</w:t>
        </w:r>
      </w:hyperlink>
      <w:r>
        <w:t>.) The name, title, and address of the Institutional Official should</w:t>
      </w:r>
      <w:r w:rsidR="00291C16">
        <w:t xml:space="preserve"> be typed below the signature. </w:t>
      </w:r>
    </w:p>
    <w:p w:rsidR="009B2615" w:rsidRDefault="009B2615" w:rsidP="00291C16"/>
    <w:p w:rsidR="00517E77" w:rsidRDefault="00517E77" w:rsidP="00291C16">
      <w:r>
        <w:t xml:space="preserve">NIH Intramural Investigators may also apply for Certificates of Confidentiality. Detailed instructions for Intramural investigators are available at </w:t>
      </w:r>
      <w:hyperlink r:id="rId39" w:history="1">
        <w:r>
          <w:rPr>
            <w:rStyle w:val="Hyperlink"/>
            <w:rFonts w:ascii="Palatino Linotype" w:hAnsi="Palatino Linotype"/>
          </w:rPr>
          <w:t>http://grants.nih.gov/grants/policy/coc/appl_intramural.htm</w:t>
        </w:r>
      </w:hyperlink>
      <w:r>
        <w:t>. When possible, an application for a Certificate should be made in conjunction with initial or annual IRB review of research proposals. Intramural PIs should complete the application form and attach a concise description of project aims and research methods (this can be met by attaching a copy of the protocol), IRB approval (memo signed by the IRB Chair), and a copy of the informed consent form to be used in the study, as approved by the IRB. Completed packages should be sent to the Certificate Coordinator at the appropriate NIH IC.</w:t>
      </w:r>
    </w:p>
    <w:p w:rsidR="00517E77" w:rsidRDefault="00517E77" w:rsidP="00291C16">
      <w:pPr>
        <w:pStyle w:val="Heading2"/>
      </w:pPr>
      <w:r>
        <w:t>Flow Chart</w:t>
      </w:r>
    </w:p>
    <w:p w:rsidR="00625FC7" w:rsidRDefault="00517E77" w:rsidP="00625FC7">
      <w:pPr>
        <w:pStyle w:val="NormalWeb"/>
        <w:rPr>
          <w:rFonts w:ascii="Palatino Linotype" w:hAnsi="Palatino Linotype"/>
          <w:color w:val="000000"/>
          <w:sz w:val="22"/>
          <w:szCs w:val="22"/>
        </w:rPr>
        <w:sectPr w:rsidR="00625FC7" w:rsidSect="009B2615">
          <w:footerReference w:type="default" r:id="rId40"/>
          <w:pgSz w:w="12240" w:h="15840" w:code="1"/>
          <w:pgMar w:top="1440" w:right="1440" w:bottom="1440" w:left="1440" w:header="720" w:footer="720" w:gutter="0"/>
          <w:pgNumType w:start="1"/>
          <w:cols w:space="720"/>
          <w:docGrid w:linePitch="360"/>
        </w:sectPr>
      </w:pPr>
      <w:r>
        <w:rPr>
          <w:rFonts w:ascii="Palatino Linotype" w:hAnsi="Palatino Linotype"/>
          <w:color w:val="000000"/>
          <w:sz w:val="22"/>
          <w:szCs w:val="22"/>
        </w:rPr>
        <w:t xml:space="preserve">The following chart </w:t>
      </w:r>
      <w:r w:rsidR="009B2615">
        <w:rPr>
          <w:rFonts w:ascii="Palatino Linotype" w:hAnsi="Palatino Linotype"/>
          <w:color w:val="000000"/>
          <w:sz w:val="22"/>
          <w:szCs w:val="22"/>
        </w:rPr>
        <w:t xml:space="preserve">(Fig. 1) </w:t>
      </w:r>
      <w:r>
        <w:rPr>
          <w:rFonts w:ascii="Palatino Linotype" w:hAnsi="Palatino Linotype"/>
          <w:color w:val="000000"/>
          <w:sz w:val="22"/>
          <w:szCs w:val="22"/>
        </w:rPr>
        <w:t xml:space="preserve">is a summary of the process to determine eligibility for a Certificate and appropriate contacts.  </w:t>
      </w:r>
      <w:bookmarkStart w:id="195" w:name="online_application"/>
      <w:r>
        <w:rPr>
          <w:rFonts w:ascii="Palatino Linotype" w:hAnsi="Palatino Linotype"/>
          <w:color w:val="000000"/>
          <w:sz w:val="22"/>
          <w:szCs w:val="22"/>
        </w:rPr>
        <w:t xml:space="preserve">The following NIH Institutes/Centers (ICs) are using an on-line application process: </w:t>
      </w:r>
      <w:bookmarkEnd w:id="195"/>
      <w:r w:rsidR="001E6003">
        <w:rPr>
          <w:rFonts w:ascii="Palatino Linotype" w:hAnsi="Palatino Linotype"/>
          <w:color w:val="000000"/>
          <w:sz w:val="22"/>
          <w:szCs w:val="22"/>
        </w:rPr>
        <w:fldChar w:fldCharType="begin"/>
      </w:r>
      <w:r>
        <w:rPr>
          <w:rFonts w:ascii="Palatino Linotype" w:hAnsi="Palatino Linotype"/>
          <w:color w:val="000000"/>
          <w:sz w:val="22"/>
          <w:szCs w:val="22"/>
        </w:rPr>
        <w:instrText xml:space="preserve"> HYPERLINK "http://grants.nih.gov/grants/policy/coc/contacts.htm" \l "nccam" </w:instrText>
      </w:r>
      <w:r w:rsidR="001E6003">
        <w:rPr>
          <w:rFonts w:ascii="Palatino Linotype" w:hAnsi="Palatino Linotype"/>
          <w:color w:val="000000"/>
          <w:sz w:val="22"/>
          <w:szCs w:val="22"/>
        </w:rPr>
        <w:fldChar w:fldCharType="separate"/>
      </w:r>
      <w:r>
        <w:rPr>
          <w:rStyle w:val="Hyperlink"/>
          <w:rFonts w:ascii="Palatino Linotype" w:hAnsi="Palatino Linotype"/>
          <w:sz w:val="22"/>
          <w:szCs w:val="22"/>
        </w:rPr>
        <w:t>NCCAM</w:t>
      </w:r>
      <w:r w:rsidR="001E6003">
        <w:rPr>
          <w:rFonts w:ascii="Palatino Linotype" w:hAnsi="Palatino Linotype"/>
          <w:color w:val="000000"/>
          <w:sz w:val="22"/>
          <w:szCs w:val="22"/>
        </w:rPr>
        <w:fldChar w:fldCharType="end"/>
      </w:r>
      <w:r>
        <w:rPr>
          <w:rFonts w:ascii="Palatino Linotype" w:hAnsi="Palatino Linotype"/>
          <w:color w:val="000000"/>
          <w:sz w:val="22"/>
          <w:szCs w:val="22"/>
        </w:rPr>
        <w:t xml:space="preserve">, </w:t>
      </w:r>
      <w:hyperlink r:id="rId41" w:anchor="ncrr" w:history="1">
        <w:r>
          <w:rPr>
            <w:rStyle w:val="Hyperlink"/>
            <w:rFonts w:ascii="Palatino Linotype" w:hAnsi="Palatino Linotype"/>
            <w:sz w:val="22"/>
            <w:szCs w:val="22"/>
          </w:rPr>
          <w:t>NCRR</w:t>
        </w:r>
      </w:hyperlink>
      <w:r>
        <w:rPr>
          <w:rFonts w:ascii="Palatino Linotype" w:hAnsi="Palatino Linotype"/>
          <w:color w:val="000000"/>
          <w:sz w:val="22"/>
          <w:szCs w:val="22"/>
        </w:rPr>
        <w:t xml:space="preserve">, </w:t>
      </w:r>
      <w:hyperlink r:id="rId42" w:anchor="nhlbi" w:history="1">
        <w:r>
          <w:rPr>
            <w:rStyle w:val="Hyperlink"/>
            <w:rFonts w:ascii="Palatino Linotype" w:hAnsi="Palatino Linotype"/>
            <w:sz w:val="22"/>
            <w:szCs w:val="22"/>
          </w:rPr>
          <w:t>NHLBI</w:t>
        </w:r>
      </w:hyperlink>
      <w:r>
        <w:rPr>
          <w:rFonts w:ascii="Palatino Linotype" w:hAnsi="Palatino Linotype"/>
          <w:color w:val="000000"/>
          <w:sz w:val="22"/>
          <w:szCs w:val="22"/>
        </w:rPr>
        <w:t xml:space="preserve">, </w:t>
      </w:r>
      <w:hyperlink r:id="rId43" w:anchor="niaaa" w:history="1">
        <w:r>
          <w:rPr>
            <w:rStyle w:val="Hyperlink"/>
            <w:rFonts w:ascii="Palatino Linotype" w:hAnsi="Palatino Linotype"/>
            <w:sz w:val="22"/>
            <w:szCs w:val="22"/>
          </w:rPr>
          <w:t>NIAAA</w:t>
        </w:r>
      </w:hyperlink>
      <w:r>
        <w:rPr>
          <w:rFonts w:ascii="Palatino Linotype" w:hAnsi="Palatino Linotype"/>
          <w:color w:val="000000"/>
          <w:sz w:val="22"/>
          <w:szCs w:val="22"/>
        </w:rPr>
        <w:t xml:space="preserve">, </w:t>
      </w:r>
      <w:hyperlink r:id="rId44" w:anchor="niaid" w:history="1">
        <w:r>
          <w:rPr>
            <w:rStyle w:val="Hyperlink"/>
            <w:rFonts w:ascii="Palatino Linotype" w:hAnsi="Palatino Linotype"/>
            <w:sz w:val="22"/>
            <w:szCs w:val="22"/>
          </w:rPr>
          <w:t>NIAID</w:t>
        </w:r>
      </w:hyperlink>
      <w:r>
        <w:rPr>
          <w:rFonts w:ascii="Palatino Linotype" w:hAnsi="Palatino Linotype"/>
          <w:color w:val="000000"/>
          <w:sz w:val="22"/>
          <w:szCs w:val="22"/>
        </w:rPr>
        <w:t xml:space="preserve">, </w:t>
      </w:r>
      <w:hyperlink r:id="rId45" w:anchor="nichd" w:history="1">
        <w:r>
          <w:rPr>
            <w:rStyle w:val="Hyperlink"/>
            <w:rFonts w:ascii="Palatino Linotype" w:hAnsi="Palatino Linotype"/>
            <w:sz w:val="22"/>
            <w:szCs w:val="22"/>
          </w:rPr>
          <w:t>NICHD</w:t>
        </w:r>
      </w:hyperlink>
      <w:r>
        <w:rPr>
          <w:rFonts w:ascii="Palatino Linotype" w:hAnsi="Palatino Linotype"/>
          <w:color w:val="000000"/>
          <w:sz w:val="22"/>
          <w:szCs w:val="22"/>
        </w:rPr>
        <w:t xml:space="preserve">, </w:t>
      </w:r>
      <w:hyperlink r:id="rId46" w:anchor="niehs" w:history="1">
        <w:r>
          <w:rPr>
            <w:rStyle w:val="Hyperlink"/>
            <w:rFonts w:ascii="Palatino Linotype" w:hAnsi="Palatino Linotype"/>
            <w:sz w:val="22"/>
            <w:szCs w:val="22"/>
          </w:rPr>
          <w:t>NIEHS</w:t>
        </w:r>
      </w:hyperlink>
      <w:r>
        <w:rPr>
          <w:rFonts w:ascii="Palatino Linotype" w:hAnsi="Palatino Linotype"/>
          <w:color w:val="000000"/>
          <w:sz w:val="22"/>
          <w:szCs w:val="22"/>
        </w:rPr>
        <w:t xml:space="preserve">, </w:t>
      </w:r>
      <w:hyperlink r:id="rId47" w:anchor="nimh" w:history="1">
        <w:r>
          <w:rPr>
            <w:rStyle w:val="Hyperlink"/>
            <w:rFonts w:ascii="Palatino Linotype" w:hAnsi="Palatino Linotype"/>
            <w:sz w:val="22"/>
            <w:szCs w:val="22"/>
          </w:rPr>
          <w:t>NIMH</w:t>
        </w:r>
      </w:hyperlink>
      <w:r>
        <w:rPr>
          <w:rFonts w:ascii="Palatino Linotype" w:hAnsi="Palatino Linotype"/>
          <w:color w:val="000000"/>
          <w:sz w:val="22"/>
          <w:szCs w:val="22"/>
        </w:rPr>
        <w:t xml:space="preserve">, </w:t>
      </w:r>
      <w:hyperlink r:id="rId48" w:anchor="ninds" w:history="1">
        <w:r>
          <w:rPr>
            <w:rStyle w:val="Hyperlink"/>
            <w:rFonts w:ascii="Palatino Linotype" w:hAnsi="Palatino Linotype"/>
            <w:sz w:val="22"/>
            <w:szCs w:val="22"/>
          </w:rPr>
          <w:t>NINDS</w:t>
        </w:r>
      </w:hyperlink>
      <w:r>
        <w:rPr>
          <w:rFonts w:ascii="Palatino Linotype" w:hAnsi="Palatino Linotype"/>
          <w:color w:val="000000"/>
          <w:sz w:val="22"/>
          <w:szCs w:val="22"/>
        </w:rPr>
        <w:t xml:space="preserve">, </w:t>
      </w:r>
      <w:hyperlink r:id="rId49" w:anchor="ninr" w:history="1">
        <w:r>
          <w:rPr>
            <w:rStyle w:val="Hyperlink"/>
            <w:rFonts w:ascii="Palatino Linotype" w:hAnsi="Palatino Linotype"/>
            <w:sz w:val="22"/>
            <w:szCs w:val="22"/>
          </w:rPr>
          <w:t>NINR</w:t>
        </w:r>
      </w:hyperlink>
      <w:r>
        <w:rPr>
          <w:rFonts w:ascii="Palatino Linotype" w:hAnsi="Palatino Linotype"/>
          <w:color w:val="000000"/>
          <w:sz w:val="22"/>
          <w:szCs w:val="22"/>
        </w:rPr>
        <w:t xml:space="preserve">. To access the on-line system for one of the IC’s, please click on one of the IC's listed or go to the IC listing on the Contacts List: </w:t>
      </w:r>
      <w:hyperlink r:id="rId50" w:history="1">
        <w:r>
          <w:rPr>
            <w:rStyle w:val="Hyperlink"/>
            <w:rFonts w:ascii="Palatino Linotype" w:hAnsi="Palatino Linotype"/>
            <w:sz w:val="22"/>
            <w:szCs w:val="22"/>
          </w:rPr>
          <w:t>http://grants.nih.gov/grants/policy/coc/contacts.htm</w:t>
        </w:r>
      </w:hyperlink>
    </w:p>
    <w:p w:rsidR="00517E77" w:rsidRDefault="00517E77" w:rsidP="00625FC7">
      <w:pPr>
        <w:pStyle w:val="NormalWeb"/>
        <w:rPr>
          <w:rFonts w:ascii="Palatino Linotype" w:hAnsi="Palatino Linotype"/>
          <w:color w:val="000000"/>
          <w:sz w:val="22"/>
          <w:szCs w:val="22"/>
        </w:rPr>
      </w:pPr>
    </w:p>
    <w:p w:rsidR="00517E77" w:rsidRDefault="00517E77" w:rsidP="00517E77">
      <w:pPr>
        <w:pStyle w:val="NormalWeb"/>
        <w:rPr>
          <w:rFonts w:ascii="Palatino Linotype" w:hAnsi="Palatino Linotype"/>
          <w:color w:val="000000"/>
          <w:sz w:val="22"/>
          <w:szCs w:val="22"/>
        </w:rPr>
      </w:pPr>
    </w:p>
    <w:p w:rsidR="00517E77" w:rsidRDefault="00517E77" w:rsidP="00517E77">
      <w:pPr>
        <w:pStyle w:val="NormalWeb"/>
        <w:rPr>
          <w:rFonts w:ascii="Palatino Linotype" w:hAnsi="Palatino Linotype"/>
          <w:color w:val="000000"/>
          <w:sz w:val="22"/>
          <w:szCs w:val="22"/>
        </w:rPr>
        <w:sectPr w:rsidR="00517E77" w:rsidSect="00625FC7">
          <w:type w:val="continuous"/>
          <w:pgSz w:w="12240" w:h="15840" w:code="1"/>
          <w:pgMar w:top="1440" w:right="1440" w:bottom="1440" w:left="1440" w:header="720" w:footer="720" w:gutter="0"/>
          <w:pgNumType w:start="1"/>
          <w:cols w:space="720"/>
          <w:docGrid w:linePitch="360"/>
        </w:sectPr>
      </w:pPr>
    </w:p>
    <w:p w:rsidR="00517E77" w:rsidRDefault="00D00639" w:rsidP="00517E77">
      <w:pPr>
        <w:pStyle w:val="NormalWeb"/>
        <w:jc w:val="center"/>
        <w:rPr>
          <w:rFonts w:ascii="Palatino Linotype" w:hAnsi="Palatino Linotype"/>
          <w:sz w:val="22"/>
          <w:szCs w:val="22"/>
        </w:rPr>
      </w:pPr>
      <w:r>
        <w:rPr>
          <w:rFonts w:ascii="Palatino Linotype" w:hAnsi="Palatino Linotype"/>
          <w:noProof/>
          <w:sz w:val="22"/>
          <w:szCs w:val="22"/>
        </w:rPr>
        <w:lastRenderedPageBreak/>
        <w:drawing>
          <wp:inline distT="0" distB="0" distL="0" distR="0">
            <wp:extent cx="6619875" cy="501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19875" cy="5019675"/>
                    </a:xfrm>
                    <a:prstGeom prst="rect">
                      <a:avLst/>
                    </a:prstGeom>
                    <a:noFill/>
                    <a:ln>
                      <a:noFill/>
                    </a:ln>
                  </pic:spPr>
                </pic:pic>
              </a:graphicData>
            </a:graphic>
          </wp:inline>
        </w:drawing>
      </w:r>
    </w:p>
    <w:p w:rsidR="0046799A" w:rsidRPr="00625FC7" w:rsidRDefault="009B2615" w:rsidP="00625FC7">
      <w:pPr>
        <w:pStyle w:val="NormalWeb"/>
        <w:jc w:val="center"/>
        <w:rPr>
          <w:rFonts w:ascii="Palatino Linotype" w:hAnsi="Palatino Linotype"/>
          <w:b/>
          <w:sz w:val="22"/>
          <w:szCs w:val="22"/>
        </w:rPr>
      </w:pPr>
      <w:r>
        <w:rPr>
          <w:rFonts w:ascii="Palatino Linotype" w:hAnsi="Palatino Linotype"/>
          <w:b/>
          <w:sz w:val="22"/>
          <w:szCs w:val="22"/>
        </w:rPr>
        <w:t xml:space="preserve">Fig. 1 </w:t>
      </w:r>
      <w:r w:rsidR="00517E77">
        <w:rPr>
          <w:rFonts w:ascii="Palatino Linotype" w:hAnsi="Palatino Linotype"/>
          <w:b/>
          <w:sz w:val="22"/>
          <w:szCs w:val="22"/>
        </w:rPr>
        <w:t>Flow Chart to Determine Eligibility for a CoC and Appropriate Contacts</w:t>
      </w:r>
    </w:p>
    <w:sectPr w:rsidR="0046799A" w:rsidRPr="00625FC7" w:rsidSect="00CF06AA">
      <w:footerReference w:type="default" r:id="rId52"/>
      <w:pgSz w:w="15840" w:h="12240" w:orient="landscape" w:code="1"/>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3C" w:rsidRDefault="0053743C" w:rsidP="00C53F3E">
      <w:pPr>
        <w:spacing w:after="0" w:line="240" w:lineRule="auto"/>
      </w:pPr>
      <w:r>
        <w:separator/>
      </w:r>
    </w:p>
  </w:endnote>
  <w:endnote w:type="continuationSeparator" w:id="0">
    <w:p w:rsidR="0053743C" w:rsidRDefault="0053743C" w:rsidP="00C5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rsidP="002A7759">
    <w:pPr>
      <w:pStyle w:val="Footer"/>
      <w:pBdr>
        <w:top w:val="thinThickSmallGap" w:sz="24" w:space="10" w:color="622423"/>
      </w:pBdr>
      <w:rPr>
        <w:rFonts w:ascii="Cambria" w:hAnsi="Cambria"/>
        <w:sz w:val="18"/>
        <w:szCs w:val="18"/>
      </w:rPr>
    </w:pPr>
    <w:r>
      <w:rPr>
        <w:rFonts w:ascii="Cambria" w:hAnsi="Cambria"/>
        <w:sz w:val="18"/>
        <w:szCs w:val="18"/>
      </w:rPr>
      <w:t>TRACS WG 11-01 Report:</w:t>
    </w:r>
  </w:p>
  <w:p w:rsidR="0025066A" w:rsidRDefault="0025066A" w:rsidP="00625FC7">
    <w:pPr>
      <w:pStyle w:val="Footer"/>
      <w:pBdr>
        <w:top w:val="thinThickSmallGap" w:sz="24" w:space="10" w:color="622423"/>
      </w:pBdr>
      <w:tabs>
        <w:tab w:val="clear" w:pos="4680"/>
        <w:tab w:val="clear" w:pos="9360"/>
        <w:tab w:val="right" w:pos="12240"/>
      </w:tabs>
      <w:rPr>
        <w:rFonts w:ascii="Cambria" w:hAnsi="Cambria"/>
      </w:rPr>
    </w:pPr>
    <w:r w:rsidRPr="00016119">
      <w:rPr>
        <w:rFonts w:ascii="Cambria" w:hAnsi="Cambria"/>
        <w:sz w:val="18"/>
        <w:szCs w:val="18"/>
      </w:rPr>
      <w:t>Establishing a Confidential,</w:t>
    </w:r>
    <w:r>
      <w:rPr>
        <w:sz w:val="18"/>
        <w:szCs w:val="18"/>
      </w:rPr>
      <w:t xml:space="preserve">                                 </w:t>
    </w:r>
    <w:r>
      <w:rPr>
        <w:rFonts w:ascii="Cambria" w:hAnsi="Cambria"/>
        <w:i/>
      </w:rPr>
      <w:t xml:space="preserve"> </w:t>
    </w:r>
    <w:r>
      <w:rPr>
        <w:rFonts w:ascii="Cambria" w:hAnsi="Cambria"/>
      </w:rPr>
      <w:t xml:space="preserve">                                                                                           Page D-</w:t>
    </w:r>
    <w:r w:rsidRPr="006E64B8">
      <w:rPr>
        <w:rFonts w:ascii="Cambria" w:hAnsi="Cambria"/>
      </w:rPr>
      <w:fldChar w:fldCharType="begin"/>
    </w:r>
    <w:r w:rsidRPr="006E64B8">
      <w:rPr>
        <w:rFonts w:ascii="Cambria" w:hAnsi="Cambria"/>
      </w:rPr>
      <w:instrText xml:space="preserve"> PAGE   \* MERGEFORMAT </w:instrText>
    </w:r>
    <w:r w:rsidRPr="006E64B8">
      <w:rPr>
        <w:rFonts w:ascii="Cambria" w:hAnsi="Cambria"/>
      </w:rPr>
      <w:fldChar w:fldCharType="separate"/>
    </w:r>
    <w:r w:rsidR="000F6831">
      <w:rPr>
        <w:rFonts w:ascii="Cambria" w:hAnsi="Cambria"/>
        <w:noProof/>
      </w:rPr>
      <w:t>5</w:t>
    </w:r>
    <w:r w:rsidRPr="006E64B8">
      <w:rPr>
        <w:rFonts w:ascii="Cambria" w:hAnsi="Cambria"/>
        <w:noProof/>
      </w:rPr>
      <w:fldChar w:fldCharType="end"/>
    </w:r>
  </w:p>
  <w:p w:rsidR="0025066A" w:rsidRPr="00016119" w:rsidRDefault="0025066A" w:rsidP="002A7759">
    <w:pPr>
      <w:pStyle w:val="Footer"/>
      <w:rPr>
        <w:rFonts w:ascii="Cambria" w:hAnsi="Cambria"/>
        <w:sz w:val="18"/>
        <w:szCs w:val="18"/>
      </w:rPr>
    </w:pPr>
    <w:r w:rsidRPr="00016119">
      <w:rPr>
        <w:rFonts w:ascii="Cambria" w:hAnsi="Cambria"/>
        <w:sz w:val="18"/>
        <w:szCs w:val="18"/>
      </w:rPr>
      <w:t xml:space="preserve">Non-Punitive, Close-Call Safety </w:t>
    </w:r>
  </w:p>
  <w:p w:rsidR="0025066A" w:rsidRPr="00016119" w:rsidRDefault="0025066A" w:rsidP="002A7759">
    <w:pPr>
      <w:pStyle w:val="Footer"/>
      <w:rPr>
        <w:rFonts w:ascii="Cambria" w:hAnsi="Cambria"/>
        <w:sz w:val="18"/>
        <w:szCs w:val="18"/>
      </w:rPr>
    </w:pPr>
    <w:r w:rsidRPr="00016119">
      <w:rPr>
        <w:rFonts w:ascii="Cambria" w:hAnsi="Cambria"/>
        <w:sz w:val="18"/>
        <w:szCs w:val="18"/>
      </w:rPr>
      <w:t>Reporting System for the Rail Transit Industry</w:t>
    </w:r>
  </w:p>
  <w:p w:rsidR="0025066A" w:rsidRPr="002A7759" w:rsidRDefault="0025066A" w:rsidP="002A775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rsidP="002A7759">
    <w:pPr>
      <w:pStyle w:val="Footer"/>
      <w:pBdr>
        <w:top w:val="thinThickSmallGap" w:sz="24" w:space="10" w:color="622423"/>
      </w:pBdr>
      <w:rPr>
        <w:rFonts w:ascii="Cambria" w:hAnsi="Cambria"/>
        <w:sz w:val="18"/>
        <w:szCs w:val="18"/>
      </w:rPr>
    </w:pPr>
    <w:r>
      <w:rPr>
        <w:rFonts w:ascii="Cambria" w:hAnsi="Cambria"/>
        <w:sz w:val="18"/>
        <w:szCs w:val="18"/>
      </w:rPr>
      <w:t>TRACS WG 11-01 Report:</w:t>
    </w:r>
  </w:p>
  <w:p w:rsidR="0025066A" w:rsidRDefault="0025066A" w:rsidP="00625FC7">
    <w:pPr>
      <w:pStyle w:val="Footer"/>
      <w:pBdr>
        <w:top w:val="thinThickSmallGap" w:sz="24" w:space="10" w:color="622423"/>
      </w:pBdr>
      <w:tabs>
        <w:tab w:val="clear" w:pos="4680"/>
        <w:tab w:val="clear" w:pos="9360"/>
        <w:tab w:val="right" w:pos="12240"/>
      </w:tabs>
      <w:rPr>
        <w:rFonts w:ascii="Cambria" w:hAnsi="Cambria"/>
      </w:rPr>
    </w:pPr>
    <w:r w:rsidRPr="00016119">
      <w:rPr>
        <w:rFonts w:ascii="Cambria" w:hAnsi="Cambria"/>
        <w:sz w:val="18"/>
        <w:szCs w:val="18"/>
      </w:rPr>
      <w:t>Establishing a Confidential,</w:t>
    </w:r>
    <w:r>
      <w:rPr>
        <w:sz w:val="18"/>
        <w:szCs w:val="18"/>
      </w:rPr>
      <w:t xml:space="preserve">                                                                                           </w:t>
    </w:r>
    <w:r w:rsidR="001E56E3">
      <w:rPr>
        <w:sz w:val="18"/>
        <w:szCs w:val="18"/>
      </w:rPr>
      <w:tab/>
    </w:r>
    <w:r>
      <w:rPr>
        <w:rFonts w:ascii="Cambria" w:hAnsi="Cambria"/>
      </w:rPr>
      <w:t xml:space="preserve">                                                                Page D-</w:t>
    </w:r>
    <w:r w:rsidRPr="006E64B8">
      <w:rPr>
        <w:rFonts w:ascii="Cambria" w:hAnsi="Cambria"/>
      </w:rPr>
      <w:fldChar w:fldCharType="begin"/>
    </w:r>
    <w:r w:rsidRPr="006E64B8">
      <w:rPr>
        <w:rFonts w:ascii="Cambria" w:hAnsi="Cambria"/>
      </w:rPr>
      <w:instrText xml:space="preserve"> PAGE   \* MERGEFORMAT </w:instrText>
    </w:r>
    <w:r w:rsidRPr="006E64B8">
      <w:rPr>
        <w:rFonts w:ascii="Cambria" w:hAnsi="Cambria"/>
      </w:rPr>
      <w:fldChar w:fldCharType="separate"/>
    </w:r>
    <w:r w:rsidR="000F6831">
      <w:rPr>
        <w:rFonts w:ascii="Cambria" w:hAnsi="Cambria"/>
        <w:noProof/>
      </w:rPr>
      <w:t>6</w:t>
    </w:r>
    <w:r w:rsidRPr="006E64B8">
      <w:rPr>
        <w:rFonts w:ascii="Cambria" w:hAnsi="Cambria"/>
        <w:noProof/>
      </w:rPr>
      <w:fldChar w:fldCharType="end"/>
    </w:r>
  </w:p>
  <w:p w:rsidR="0025066A" w:rsidRPr="00016119" w:rsidRDefault="0025066A" w:rsidP="002A7759">
    <w:pPr>
      <w:pStyle w:val="Footer"/>
      <w:rPr>
        <w:rFonts w:ascii="Cambria" w:hAnsi="Cambria"/>
        <w:sz w:val="18"/>
        <w:szCs w:val="18"/>
      </w:rPr>
    </w:pPr>
    <w:r w:rsidRPr="00016119">
      <w:rPr>
        <w:rFonts w:ascii="Cambria" w:hAnsi="Cambria"/>
        <w:sz w:val="18"/>
        <w:szCs w:val="18"/>
      </w:rPr>
      <w:t xml:space="preserve">Non-Punitive, Close-Call Safety </w:t>
    </w:r>
  </w:p>
  <w:p w:rsidR="0025066A" w:rsidRPr="00016119" w:rsidRDefault="0025066A" w:rsidP="002A7759">
    <w:pPr>
      <w:pStyle w:val="Footer"/>
      <w:rPr>
        <w:rFonts w:ascii="Cambria" w:hAnsi="Cambria"/>
        <w:sz w:val="18"/>
        <w:szCs w:val="18"/>
      </w:rPr>
    </w:pPr>
    <w:r w:rsidRPr="00016119">
      <w:rPr>
        <w:rFonts w:ascii="Cambria" w:hAnsi="Cambria"/>
        <w:sz w:val="18"/>
        <w:szCs w:val="18"/>
      </w:rPr>
      <w:t>Reporting System for the Rail Transit Industry</w:t>
    </w:r>
  </w:p>
  <w:p w:rsidR="0025066A" w:rsidRPr="002A7759" w:rsidRDefault="0025066A" w:rsidP="002A7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rsidP="002A7759">
    <w:pPr>
      <w:pStyle w:val="Footer"/>
      <w:pBdr>
        <w:top w:val="thinThickSmallGap" w:sz="24" w:space="10" w:color="622423"/>
      </w:pBdr>
      <w:rPr>
        <w:rFonts w:ascii="Cambria" w:hAnsi="Cambria"/>
        <w:sz w:val="18"/>
        <w:szCs w:val="18"/>
      </w:rPr>
    </w:pPr>
    <w:r>
      <w:rPr>
        <w:rFonts w:ascii="Cambria" w:hAnsi="Cambria"/>
        <w:sz w:val="18"/>
        <w:szCs w:val="18"/>
      </w:rPr>
      <w:t>TRACS WG 11-01 Report:</w:t>
    </w:r>
  </w:p>
  <w:p w:rsidR="0025066A" w:rsidRDefault="0025066A" w:rsidP="002A7759">
    <w:pPr>
      <w:pStyle w:val="Footer"/>
      <w:pBdr>
        <w:top w:val="thinThickSmallGap" w:sz="24" w:space="10" w:color="622423"/>
      </w:pBdr>
      <w:tabs>
        <w:tab w:val="clear" w:pos="4680"/>
        <w:tab w:val="clear" w:pos="9360"/>
        <w:tab w:val="right" w:pos="8640"/>
      </w:tabs>
      <w:rPr>
        <w:rFonts w:ascii="Cambria" w:hAnsi="Cambria"/>
      </w:rPr>
    </w:pPr>
    <w:r w:rsidRPr="00016119">
      <w:rPr>
        <w:rFonts w:ascii="Cambria" w:hAnsi="Cambria"/>
        <w:sz w:val="18"/>
        <w:szCs w:val="18"/>
      </w:rPr>
      <w:t>Establishing a Confidential,</w:t>
    </w:r>
    <w:r>
      <w:rPr>
        <w:rFonts w:ascii="Cambria" w:hAnsi="Cambria"/>
      </w:rPr>
      <w:tab/>
      <w:t xml:space="preserve"> Page </w:t>
    </w:r>
    <w:r w:rsidRPr="007F6EA0">
      <w:rPr>
        <w:rFonts w:ascii="Cambria" w:hAnsi="Cambria"/>
      </w:rPr>
      <w:fldChar w:fldCharType="begin"/>
    </w:r>
    <w:r w:rsidRPr="007F6EA0">
      <w:rPr>
        <w:rFonts w:ascii="Cambria" w:hAnsi="Cambria"/>
      </w:rPr>
      <w:instrText xml:space="preserve"> PAGE   \* MERGEFORMAT </w:instrText>
    </w:r>
    <w:r w:rsidRPr="007F6EA0">
      <w:rPr>
        <w:rFonts w:ascii="Cambria" w:hAnsi="Cambria"/>
      </w:rPr>
      <w:fldChar w:fldCharType="separate"/>
    </w:r>
    <w:r w:rsidR="000F6831">
      <w:rPr>
        <w:rFonts w:ascii="Cambria" w:hAnsi="Cambria"/>
        <w:noProof/>
      </w:rPr>
      <w:t>4</w:t>
    </w:r>
    <w:r w:rsidRPr="007F6EA0">
      <w:rPr>
        <w:rFonts w:ascii="Cambria" w:hAnsi="Cambria"/>
        <w:noProof/>
      </w:rPr>
      <w:fldChar w:fldCharType="end"/>
    </w:r>
  </w:p>
  <w:p w:rsidR="0025066A" w:rsidRPr="00016119" w:rsidRDefault="0025066A" w:rsidP="002A7759">
    <w:pPr>
      <w:pStyle w:val="Footer"/>
      <w:rPr>
        <w:rFonts w:ascii="Cambria" w:hAnsi="Cambria"/>
        <w:sz w:val="18"/>
        <w:szCs w:val="18"/>
      </w:rPr>
    </w:pPr>
    <w:r w:rsidRPr="00016119">
      <w:rPr>
        <w:rFonts w:ascii="Cambria" w:hAnsi="Cambria"/>
        <w:sz w:val="18"/>
        <w:szCs w:val="18"/>
      </w:rPr>
      <w:t xml:space="preserve">Non-Punitive, Close-Call Safety </w:t>
    </w:r>
  </w:p>
  <w:p w:rsidR="0025066A" w:rsidRPr="00016119" w:rsidRDefault="0025066A" w:rsidP="002A7759">
    <w:pPr>
      <w:pStyle w:val="Footer"/>
      <w:rPr>
        <w:rFonts w:ascii="Cambria" w:hAnsi="Cambria"/>
        <w:sz w:val="18"/>
        <w:szCs w:val="18"/>
      </w:rPr>
    </w:pPr>
    <w:r w:rsidRPr="00016119">
      <w:rPr>
        <w:rFonts w:ascii="Cambria" w:hAnsi="Cambria"/>
        <w:sz w:val="18"/>
        <w:szCs w:val="18"/>
      </w:rPr>
      <w:t>Reporting System for the Rail Transit Industry</w:t>
    </w:r>
  </w:p>
  <w:p w:rsidR="0025066A" w:rsidRPr="002A7759" w:rsidRDefault="0025066A" w:rsidP="002A77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rsidP="002A7759">
    <w:pPr>
      <w:pStyle w:val="Footer"/>
      <w:pBdr>
        <w:top w:val="thinThickSmallGap" w:sz="24" w:space="10" w:color="622423"/>
      </w:pBdr>
      <w:rPr>
        <w:rFonts w:ascii="Cambria" w:hAnsi="Cambria"/>
        <w:sz w:val="18"/>
        <w:szCs w:val="18"/>
      </w:rPr>
    </w:pPr>
    <w:r>
      <w:rPr>
        <w:rFonts w:ascii="Cambria" w:hAnsi="Cambria"/>
        <w:sz w:val="18"/>
        <w:szCs w:val="18"/>
      </w:rPr>
      <w:t>TRACS WG 11-01 Report:</w:t>
    </w:r>
  </w:p>
  <w:p w:rsidR="0025066A" w:rsidRDefault="0025066A" w:rsidP="002A7759">
    <w:pPr>
      <w:pStyle w:val="Footer"/>
      <w:pBdr>
        <w:top w:val="thinThickSmallGap" w:sz="24" w:space="10" w:color="622423"/>
      </w:pBdr>
      <w:tabs>
        <w:tab w:val="clear" w:pos="4680"/>
        <w:tab w:val="clear" w:pos="9360"/>
        <w:tab w:val="right" w:pos="8640"/>
      </w:tabs>
      <w:rPr>
        <w:rFonts w:ascii="Cambria" w:hAnsi="Cambria"/>
      </w:rPr>
    </w:pPr>
    <w:r w:rsidRPr="00016119">
      <w:rPr>
        <w:rFonts w:ascii="Cambria" w:hAnsi="Cambria"/>
        <w:sz w:val="18"/>
        <w:szCs w:val="18"/>
      </w:rPr>
      <w:t>Establishing a Confidential,</w:t>
    </w:r>
    <w:r>
      <w:rPr>
        <w:sz w:val="18"/>
        <w:szCs w:val="18"/>
      </w:rPr>
      <w:t xml:space="preserve">                                                                                       </w:t>
    </w:r>
    <w:r>
      <w:rPr>
        <w:rFonts w:ascii="Cambria" w:hAnsi="Cambria"/>
        <w:i/>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Page </w:t>
    </w:r>
    <w:r w:rsidRPr="007F6EA0">
      <w:rPr>
        <w:rFonts w:ascii="Cambria" w:hAnsi="Cambria"/>
      </w:rPr>
      <w:fldChar w:fldCharType="begin"/>
    </w:r>
    <w:r w:rsidRPr="007F6EA0">
      <w:rPr>
        <w:rFonts w:ascii="Cambria" w:hAnsi="Cambria"/>
      </w:rPr>
      <w:instrText xml:space="preserve"> PAGE   \* MERGEFORMAT </w:instrText>
    </w:r>
    <w:r w:rsidRPr="007F6EA0">
      <w:rPr>
        <w:rFonts w:ascii="Cambria" w:hAnsi="Cambria"/>
      </w:rPr>
      <w:fldChar w:fldCharType="separate"/>
    </w:r>
    <w:r w:rsidR="000F6831">
      <w:rPr>
        <w:rFonts w:ascii="Cambria" w:hAnsi="Cambria"/>
        <w:noProof/>
      </w:rPr>
      <w:t>8</w:t>
    </w:r>
    <w:r w:rsidRPr="007F6EA0">
      <w:rPr>
        <w:rFonts w:ascii="Cambria" w:hAnsi="Cambria"/>
        <w:noProof/>
      </w:rPr>
      <w:fldChar w:fldCharType="end"/>
    </w:r>
  </w:p>
  <w:p w:rsidR="0025066A" w:rsidRPr="00016119" w:rsidRDefault="0025066A" w:rsidP="002A7759">
    <w:pPr>
      <w:pStyle w:val="Footer"/>
      <w:rPr>
        <w:rFonts w:ascii="Cambria" w:hAnsi="Cambria"/>
        <w:sz w:val="18"/>
        <w:szCs w:val="18"/>
      </w:rPr>
    </w:pPr>
    <w:r w:rsidRPr="00016119">
      <w:rPr>
        <w:rFonts w:ascii="Cambria" w:hAnsi="Cambria"/>
        <w:sz w:val="18"/>
        <w:szCs w:val="18"/>
      </w:rPr>
      <w:t xml:space="preserve">Non-Punitive, Close-Call Safety </w:t>
    </w:r>
  </w:p>
  <w:p w:rsidR="0025066A" w:rsidRPr="00016119" w:rsidRDefault="0025066A" w:rsidP="002A7759">
    <w:pPr>
      <w:pStyle w:val="Footer"/>
      <w:rPr>
        <w:rFonts w:ascii="Cambria" w:hAnsi="Cambria"/>
        <w:sz w:val="18"/>
        <w:szCs w:val="18"/>
      </w:rPr>
    </w:pPr>
    <w:r w:rsidRPr="00016119">
      <w:rPr>
        <w:rFonts w:ascii="Cambria" w:hAnsi="Cambria"/>
        <w:sz w:val="18"/>
        <w:szCs w:val="18"/>
      </w:rPr>
      <w:t>Reporting System for the Rail Transit Industry</w:t>
    </w:r>
  </w:p>
  <w:p w:rsidR="0025066A" w:rsidRPr="002A7759" w:rsidRDefault="0025066A" w:rsidP="002A77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rsidP="002A7759">
    <w:pPr>
      <w:pStyle w:val="Footer"/>
      <w:pBdr>
        <w:top w:val="thinThickSmallGap" w:sz="24" w:space="10" w:color="622423"/>
      </w:pBdr>
      <w:rPr>
        <w:rFonts w:ascii="Cambria" w:hAnsi="Cambria"/>
        <w:sz w:val="18"/>
        <w:szCs w:val="18"/>
      </w:rPr>
    </w:pPr>
    <w:r>
      <w:rPr>
        <w:rFonts w:ascii="Cambria" w:hAnsi="Cambria"/>
        <w:sz w:val="18"/>
        <w:szCs w:val="18"/>
      </w:rPr>
      <w:t>TRACS WG 11-01 Report:</w:t>
    </w:r>
  </w:p>
  <w:p w:rsidR="0025066A" w:rsidRDefault="0025066A" w:rsidP="002A7759">
    <w:pPr>
      <w:pStyle w:val="Footer"/>
      <w:pBdr>
        <w:top w:val="thinThickSmallGap" w:sz="24" w:space="10" w:color="622423"/>
      </w:pBdr>
      <w:tabs>
        <w:tab w:val="clear" w:pos="4680"/>
        <w:tab w:val="clear" w:pos="9360"/>
        <w:tab w:val="right" w:pos="8640"/>
      </w:tabs>
      <w:rPr>
        <w:rFonts w:ascii="Cambria" w:hAnsi="Cambria"/>
      </w:rPr>
    </w:pPr>
    <w:r w:rsidRPr="00016119">
      <w:rPr>
        <w:rFonts w:ascii="Cambria" w:hAnsi="Cambria"/>
        <w:sz w:val="18"/>
        <w:szCs w:val="18"/>
      </w:rPr>
      <w:t>Establishing a Confidential,</w:t>
    </w:r>
    <w:r>
      <w:rPr>
        <w:sz w:val="18"/>
        <w:szCs w:val="18"/>
      </w:rPr>
      <w:t xml:space="preserve">                               </w:t>
    </w:r>
    <w:r>
      <w:rPr>
        <w:rFonts w:ascii="Cambria" w:hAnsi="Cambria"/>
        <w:i/>
      </w:rPr>
      <w:t xml:space="preserve"> </w:t>
    </w:r>
    <w:r>
      <w:rPr>
        <w:rFonts w:ascii="Cambria" w:hAnsi="Cambria"/>
      </w:rPr>
      <w:tab/>
      <w:t xml:space="preserve">Page </w:t>
    </w:r>
    <w:r w:rsidRPr="007F6EA0">
      <w:rPr>
        <w:rFonts w:ascii="Cambria" w:hAnsi="Cambria"/>
      </w:rPr>
      <w:fldChar w:fldCharType="begin"/>
    </w:r>
    <w:r w:rsidRPr="007F6EA0">
      <w:rPr>
        <w:rFonts w:ascii="Cambria" w:hAnsi="Cambria"/>
      </w:rPr>
      <w:instrText xml:space="preserve"> PAGE   \* MERGEFORMAT </w:instrText>
    </w:r>
    <w:r w:rsidRPr="007F6EA0">
      <w:rPr>
        <w:rFonts w:ascii="Cambria" w:hAnsi="Cambria"/>
      </w:rPr>
      <w:fldChar w:fldCharType="separate"/>
    </w:r>
    <w:r w:rsidR="000F6831">
      <w:rPr>
        <w:rFonts w:ascii="Cambria" w:hAnsi="Cambria"/>
        <w:noProof/>
      </w:rPr>
      <w:t>19</w:t>
    </w:r>
    <w:r w:rsidRPr="007F6EA0">
      <w:rPr>
        <w:rFonts w:ascii="Cambria" w:hAnsi="Cambria"/>
        <w:noProof/>
      </w:rPr>
      <w:fldChar w:fldCharType="end"/>
    </w:r>
  </w:p>
  <w:p w:rsidR="0025066A" w:rsidRPr="00016119" w:rsidRDefault="0025066A" w:rsidP="002A7759">
    <w:pPr>
      <w:pStyle w:val="Footer"/>
      <w:rPr>
        <w:rFonts w:ascii="Cambria" w:hAnsi="Cambria"/>
        <w:sz w:val="18"/>
        <w:szCs w:val="18"/>
      </w:rPr>
    </w:pPr>
    <w:r w:rsidRPr="00016119">
      <w:rPr>
        <w:rFonts w:ascii="Cambria" w:hAnsi="Cambria"/>
        <w:sz w:val="18"/>
        <w:szCs w:val="18"/>
      </w:rPr>
      <w:t xml:space="preserve">Non-Punitive, Close-Call Safety </w:t>
    </w:r>
  </w:p>
  <w:p w:rsidR="0025066A" w:rsidRPr="00016119" w:rsidRDefault="0025066A" w:rsidP="002A7759">
    <w:pPr>
      <w:pStyle w:val="Footer"/>
      <w:rPr>
        <w:rFonts w:ascii="Cambria" w:hAnsi="Cambria"/>
        <w:sz w:val="18"/>
        <w:szCs w:val="18"/>
      </w:rPr>
    </w:pPr>
    <w:r w:rsidRPr="00016119">
      <w:rPr>
        <w:rFonts w:ascii="Cambria" w:hAnsi="Cambria"/>
        <w:sz w:val="18"/>
        <w:szCs w:val="18"/>
      </w:rPr>
      <w:t>Reporting System for the Rail Transit Industry</w:t>
    </w:r>
  </w:p>
  <w:p w:rsidR="0025066A" w:rsidRPr="002A7759" w:rsidRDefault="0025066A" w:rsidP="002A775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rsidP="002A7759">
    <w:pPr>
      <w:pStyle w:val="Footer"/>
      <w:pBdr>
        <w:top w:val="thinThickSmallGap" w:sz="24" w:space="10" w:color="622423"/>
      </w:pBdr>
      <w:rPr>
        <w:rFonts w:ascii="Cambria" w:hAnsi="Cambria"/>
        <w:sz w:val="18"/>
        <w:szCs w:val="18"/>
      </w:rPr>
    </w:pPr>
    <w:r>
      <w:rPr>
        <w:rFonts w:ascii="Cambria" w:hAnsi="Cambria"/>
        <w:sz w:val="18"/>
        <w:szCs w:val="18"/>
      </w:rPr>
      <w:t>TRACS WG 11-01 Report:</w:t>
    </w:r>
  </w:p>
  <w:p w:rsidR="0025066A" w:rsidRDefault="0025066A" w:rsidP="002A7759">
    <w:pPr>
      <w:pStyle w:val="Footer"/>
      <w:pBdr>
        <w:top w:val="thinThickSmallGap" w:sz="24" w:space="10" w:color="622423"/>
      </w:pBdr>
      <w:tabs>
        <w:tab w:val="clear" w:pos="4680"/>
        <w:tab w:val="clear" w:pos="9360"/>
        <w:tab w:val="right" w:pos="8640"/>
      </w:tabs>
      <w:rPr>
        <w:rFonts w:ascii="Cambria" w:hAnsi="Cambria"/>
      </w:rPr>
    </w:pPr>
    <w:r w:rsidRPr="00016119">
      <w:rPr>
        <w:rFonts w:ascii="Cambria" w:hAnsi="Cambria"/>
        <w:sz w:val="18"/>
        <w:szCs w:val="18"/>
      </w:rPr>
      <w:t>Establishing a Confidential,</w:t>
    </w:r>
    <w:r>
      <w:rPr>
        <w:sz w:val="18"/>
        <w:szCs w:val="18"/>
      </w:rPr>
      <w:t xml:space="preserve">                            </w:t>
    </w:r>
    <w:r>
      <w:rPr>
        <w:rFonts w:ascii="Cambria" w:hAnsi="Cambria"/>
        <w:i/>
      </w:rPr>
      <w:t xml:space="preserve"> </w:t>
    </w:r>
    <w:r>
      <w:rPr>
        <w:rFonts w:ascii="Cambria" w:hAnsi="Cambria"/>
      </w:rPr>
      <w:tab/>
      <w:t>Page A-</w:t>
    </w:r>
    <w:r w:rsidRPr="007F6EA0">
      <w:rPr>
        <w:rFonts w:ascii="Cambria" w:hAnsi="Cambria"/>
      </w:rPr>
      <w:fldChar w:fldCharType="begin"/>
    </w:r>
    <w:r w:rsidRPr="007F6EA0">
      <w:rPr>
        <w:rFonts w:ascii="Cambria" w:hAnsi="Cambria"/>
      </w:rPr>
      <w:instrText xml:space="preserve"> PAGE   \* MERGEFORMAT </w:instrText>
    </w:r>
    <w:r w:rsidRPr="007F6EA0">
      <w:rPr>
        <w:rFonts w:ascii="Cambria" w:hAnsi="Cambria"/>
      </w:rPr>
      <w:fldChar w:fldCharType="separate"/>
    </w:r>
    <w:r w:rsidR="000F6831">
      <w:rPr>
        <w:rFonts w:ascii="Cambria" w:hAnsi="Cambria"/>
        <w:noProof/>
      </w:rPr>
      <w:t>1</w:t>
    </w:r>
    <w:r w:rsidRPr="007F6EA0">
      <w:rPr>
        <w:rFonts w:ascii="Cambria" w:hAnsi="Cambria"/>
        <w:noProof/>
      </w:rPr>
      <w:fldChar w:fldCharType="end"/>
    </w:r>
  </w:p>
  <w:p w:rsidR="0025066A" w:rsidRPr="00016119" w:rsidRDefault="0025066A" w:rsidP="002A7759">
    <w:pPr>
      <w:pStyle w:val="Footer"/>
      <w:rPr>
        <w:rFonts w:ascii="Cambria" w:hAnsi="Cambria"/>
        <w:sz w:val="18"/>
        <w:szCs w:val="18"/>
      </w:rPr>
    </w:pPr>
    <w:r w:rsidRPr="00016119">
      <w:rPr>
        <w:rFonts w:ascii="Cambria" w:hAnsi="Cambria"/>
        <w:sz w:val="18"/>
        <w:szCs w:val="18"/>
      </w:rPr>
      <w:t xml:space="preserve">Non-Punitive, Close-Call Safety </w:t>
    </w:r>
  </w:p>
  <w:p w:rsidR="0025066A" w:rsidRPr="007C1A32" w:rsidRDefault="0025066A">
    <w:pPr>
      <w:pStyle w:val="Footer"/>
      <w:rPr>
        <w:rFonts w:ascii="Cambria" w:hAnsi="Cambria"/>
        <w:sz w:val="18"/>
        <w:szCs w:val="18"/>
      </w:rPr>
    </w:pPr>
    <w:r w:rsidRPr="00016119">
      <w:rPr>
        <w:rFonts w:ascii="Cambria" w:hAnsi="Cambria"/>
        <w:sz w:val="18"/>
        <w:szCs w:val="18"/>
      </w:rPr>
      <w:t>Reporting Syste</w:t>
    </w:r>
    <w:r>
      <w:rPr>
        <w:rFonts w:ascii="Cambria" w:hAnsi="Cambria"/>
        <w:sz w:val="18"/>
        <w:szCs w:val="18"/>
      </w:rPr>
      <w:t>m for the Rail Transit Industry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rsidP="002A7759">
    <w:pPr>
      <w:pStyle w:val="Footer"/>
      <w:pBdr>
        <w:top w:val="thinThickSmallGap" w:sz="24" w:space="10" w:color="622423"/>
      </w:pBdr>
      <w:rPr>
        <w:rFonts w:ascii="Cambria" w:hAnsi="Cambria"/>
        <w:sz w:val="18"/>
        <w:szCs w:val="18"/>
      </w:rPr>
    </w:pPr>
    <w:r>
      <w:rPr>
        <w:rFonts w:ascii="Cambria" w:hAnsi="Cambria"/>
        <w:sz w:val="18"/>
        <w:szCs w:val="18"/>
      </w:rPr>
      <w:t>TRACS WG 11-01 Report:</w:t>
    </w:r>
  </w:p>
  <w:p w:rsidR="0025066A" w:rsidRDefault="0025066A" w:rsidP="002A7759">
    <w:pPr>
      <w:pStyle w:val="Footer"/>
      <w:pBdr>
        <w:top w:val="thinThickSmallGap" w:sz="24" w:space="10" w:color="622423"/>
      </w:pBdr>
      <w:tabs>
        <w:tab w:val="clear" w:pos="4680"/>
        <w:tab w:val="clear" w:pos="9360"/>
        <w:tab w:val="right" w:pos="8640"/>
      </w:tabs>
      <w:rPr>
        <w:rFonts w:ascii="Cambria" w:hAnsi="Cambria"/>
      </w:rPr>
    </w:pPr>
    <w:r w:rsidRPr="00016119">
      <w:rPr>
        <w:rFonts w:ascii="Cambria" w:hAnsi="Cambria"/>
        <w:sz w:val="18"/>
        <w:szCs w:val="18"/>
      </w:rPr>
      <w:t>Establishing a Confidential,</w:t>
    </w:r>
    <w:r>
      <w:rPr>
        <w:sz w:val="18"/>
        <w:szCs w:val="18"/>
      </w:rPr>
      <w:t xml:space="preserve">                            </w:t>
    </w:r>
    <w:r>
      <w:rPr>
        <w:rFonts w:ascii="Cambria" w:hAnsi="Cambria"/>
        <w:i/>
      </w:rPr>
      <w:t xml:space="preserve"> </w:t>
    </w:r>
    <w:r>
      <w:rPr>
        <w:rFonts w:ascii="Cambria" w:hAnsi="Cambria"/>
      </w:rPr>
      <w:tab/>
      <w:t xml:space="preserve">                                             Page B-</w:t>
    </w:r>
    <w:r w:rsidRPr="007F6EA0">
      <w:rPr>
        <w:rFonts w:ascii="Cambria" w:hAnsi="Cambria"/>
      </w:rPr>
      <w:fldChar w:fldCharType="begin"/>
    </w:r>
    <w:r w:rsidRPr="007F6EA0">
      <w:rPr>
        <w:rFonts w:ascii="Cambria" w:hAnsi="Cambria"/>
      </w:rPr>
      <w:instrText xml:space="preserve"> PAGE   \* MERGEFORMAT </w:instrText>
    </w:r>
    <w:r w:rsidRPr="007F6EA0">
      <w:rPr>
        <w:rFonts w:ascii="Cambria" w:hAnsi="Cambria"/>
      </w:rPr>
      <w:fldChar w:fldCharType="separate"/>
    </w:r>
    <w:r w:rsidR="000F6831">
      <w:rPr>
        <w:rFonts w:ascii="Cambria" w:hAnsi="Cambria"/>
        <w:noProof/>
      </w:rPr>
      <w:t>19</w:t>
    </w:r>
    <w:r w:rsidRPr="007F6EA0">
      <w:rPr>
        <w:rFonts w:ascii="Cambria" w:hAnsi="Cambria"/>
        <w:noProof/>
      </w:rPr>
      <w:fldChar w:fldCharType="end"/>
    </w:r>
  </w:p>
  <w:p w:rsidR="0025066A" w:rsidRPr="00016119" w:rsidRDefault="0025066A" w:rsidP="002A7759">
    <w:pPr>
      <w:pStyle w:val="Footer"/>
      <w:rPr>
        <w:rFonts w:ascii="Cambria" w:hAnsi="Cambria"/>
        <w:sz w:val="18"/>
        <w:szCs w:val="18"/>
      </w:rPr>
    </w:pPr>
    <w:r w:rsidRPr="00016119">
      <w:rPr>
        <w:rFonts w:ascii="Cambria" w:hAnsi="Cambria"/>
        <w:sz w:val="18"/>
        <w:szCs w:val="18"/>
      </w:rPr>
      <w:t xml:space="preserve">Non-Punitive, Close-Call Safety </w:t>
    </w:r>
  </w:p>
  <w:p w:rsidR="0025066A" w:rsidRPr="00016119" w:rsidRDefault="0025066A" w:rsidP="002A7759">
    <w:pPr>
      <w:pStyle w:val="Footer"/>
      <w:rPr>
        <w:rFonts w:ascii="Cambria" w:hAnsi="Cambria"/>
        <w:sz w:val="18"/>
        <w:szCs w:val="18"/>
      </w:rPr>
    </w:pPr>
    <w:r w:rsidRPr="00016119">
      <w:rPr>
        <w:rFonts w:ascii="Cambria" w:hAnsi="Cambria"/>
        <w:sz w:val="18"/>
        <w:szCs w:val="18"/>
      </w:rPr>
      <w:t>Reporting System for the Rail Transit Industry</w:t>
    </w:r>
  </w:p>
  <w:p w:rsidR="0025066A" w:rsidRPr="002A7759" w:rsidRDefault="0025066A" w:rsidP="002A775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rsidP="002A7759">
    <w:pPr>
      <w:pStyle w:val="Footer"/>
      <w:pBdr>
        <w:top w:val="thinThickSmallGap" w:sz="24" w:space="10" w:color="622423"/>
      </w:pBdr>
      <w:rPr>
        <w:rFonts w:ascii="Cambria" w:hAnsi="Cambria"/>
        <w:sz w:val="18"/>
        <w:szCs w:val="18"/>
      </w:rPr>
    </w:pPr>
    <w:r>
      <w:rPr>
        <w:rFonts w:ascii="Cambria" w:hAnsi="Cambria"/>
        <w:sz w:val="18"/>
        <w:szCs w:val="18"/>
      </w:rPr>
      <w:t>TRACS WG 11-01 Report:</w:t>
    </w:r>
  </w:p>
  <w:p w:rsidR="0025066A" w:rsidRDefault="0025066A" w:rsidP="002A7759">
    <w:pPr>
      <w:pStyle w:val="Footer"/>
      <w:pBdr>
        <w:top w:val="thinThickSmallGap" w:sz="24" w:space="10" w:color="622423"/>
      </w:pBdr>
      <w:tabs>
        <w:tab w:val="clear" w:pos="4680"/>
        <w:tab w:val="clear" w:pos="9360"/>
        <w:tab w:val="right" w:pos="8640"/>
      </w:tabs>
      <w:rPr>
        <w:rFonts w:ascii="Cambria" w:hAnsi="Cambria"/>
      </w:rPr>
    </w:pPr>
    <w:r w:rsidRPr="00016119">
      <w:rPr>
        <w:rFonts w:ascii="Cambria" w:hAnsi="Cambria"/>
        <w:sz w:val="18"/>
        <w:szCs w:val="18"/>
      </w:rPr>
      <w:t>Establishing a Confidential,</w:t>
    </w:r>
    <w:r>
      <w:rPr>
        <w:sz w:val="18"/>
        <w:szCs w:val="18"/>
      </w:rPr>
      <w:t xml:space="preserve">                            </w:t>
    </w:r>
    <w:r>
      <w:rPr>
        <w:rFonts w:ascii="Cambria" w:hAnsi="Cambria"/>
        <w:i/>
      </w:rPr>
      <w:t xml:space="preserve"> </w:t>
    </w:r>
    <w:r>
      <w:rPr>
        <w:rFonts w:ascii="Cambria" w:hAnsi="Cambria"/>
        <w:i/>
      </w:rPr>
      <w:tab/>
    </w:r>
    <w:r>
      <w:rPr>
        <w:rFonts w:ascii="Cambria" w:hAnsi="Cambria"/>
      </w:rPr>
      <w:t xml:space="preserve">                                                Page C-</w:t>
    </w:r>
    <w:r w:rsidRPr="007F6EA0">
      <w:rPr>
        <w:rFonts w:ascii="Cambria" w:hAnsi="Cambria"/>
      </w:rPr>
      <w:fldChar w:fldCharType="begin"/>
    </w:r>
    <w:r w:rsidRPr="007F6EA0">
      <w:rPr>
        <w:rFonts w:ascii="Cambria" w:hAnsi="Cambria"/>
      </w:rPr>
      <w:instrText xml:space="preserve"> PAGE   \* MERGEFORMAT </w:instrText>
    </w:r>
    <w:r w:rsidRPr="007F6EA0">
      <w:rPr>
        <w:rFonts w:ascii="Cambria" w:hAnsi="Cambria"/>
      </w:rPr>
      <w:fldChar w:fldCharType="separate"/>
    </w:r>
    <w:r w:rsidR="000F6831">
      <w:rPr>
        <w:rFonts w:ascii="Cambria" w:hAnsi="Cambria"/>
        <w:noProof/>
      </w:rPr>
      <w:t>5</w:t>
    </w:r>
    <w:r w:rsidRPr="007F6EA0">
      <w:rPr>
        <w:rFonts w:ascii="Cambria" w:hAnsi="Cambria"/>
        <w:noProof/>
      </w:rPr>
      <w:fldChar w:fldCharType="end"/>
    </w:r>
  </w:p>
  <w:p w:rsidR="0025066A" w:rsidRPr="00016119" w:rsidRDefault="0025066A" w:rsidP="002A7759">
    <w:pPr>
      <w:pStyle w:val="Footer"/>
      <w:rPr>
        <w:rFonts w:ascii="Cambria" w:hAnsi="Cambria"/>
        <w:sz w:val="18"/>
        <w:szCs w:val="18"/>
      </w:rPr>
    </w:pPr>
    <w:r w:rsidRPr="00016119">
      <w:rPr>
        <w:rFonts w:ascii="Cambria" w:hAnsi="Cambria"/>
        <w:sz w:val="18"/>
        <w:szCs w:val="18"/>
      </w:rPr>
      <w:t xml:space="preserve">Non-Punitive, Close-Call Safety </w:t>
    </w:r>
  </w:p>
  <w:p w:rsidR="0025066A" w:rsidRPr="00016119" w:rsidRDefault="0025066A" w:rsidP="002A7759">
    <w:pPr>
      <w:pStyle w:val="Footer"/>
      <w:rPr>
        <w:rFonts w:ascii="Cambria" w:hAnsi="Cambria"/>
        <w:sz w:val="18"/>
        <w:szCs w:val="18"/>
      </w:rPr>
    </w:pPr>
    <w:r w:rsidRPr="00016119">
      <w:rPr>
        <w:rFonts w:ascii="Cambria" w:hAnsi="Cambria"/>
        <w:sz w:val="18"/>
        <w:szCs w:val="18"/>
      </w:rPr>
      <w:t>Reporting System for the Rail Transit Industry</w:t>
    </w:r>
  </w:p>
  <w:p w:rsidR="0025066A" w:rsidRPr="002A7759" w:rsidRDefault="0025066A" w:rsidP="002A7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3C" w:rsidRDefault="0053743C" w:rsidP="00C53F3E">
      <w:pPr>
        <w:spacing w:after="0" w:line="240" w:lineRule="auto"/>
      </w:pPr>
      <w:r>
        <w:separator/>
      </w:r>
    </w:p>
  </w:footnote>
  <w:footnote w:type="continuationSeparator" w:id="0">
    <w:p w:rsidR="0053743C" w:rsidRDefault="0053743C" w:rsidP="00C53F3E">
      <w:pPr>
        <w:spacing w:after="0" w:line="240" w:lineRule="auto"/>
      </w:pPr>
      <w:r>
        <w:continuationSeparator/>
      </w:r>
    </w:p>
  </w:footnote>
  <w:footnote w:id="1">
    <w:p w:rsidR="0025066A" w:rsidRDefault="0025066A" w:rsidP="00356EB2">
      <w:pPr>
        <w:pStyle w:val="FootnoteText"/>
      </w:pPr>
      <w:r>
        <w:rPr>
          <w:rStyle w:val="FootnoteReference"/>
        </w:rPr>
        <w:footnoteRef/>
      </w:r>
      <w:r>
        <w:t xml:space="preserve"> Certificates of Confidentiality (COCs) are at times used to protect the confidentiality of research project data. The TRACS Working Group is unsure of the applicability or suitability of COCs to close call reporting projects. Therefore, we recommend that FTA undertake a legal review to determine the applicability and suitability of COCs as a possible alternative option for protecting close call reporting data. See Appendix D for general information on COCs.</w:t>
      </w:r>
    </w:p>
  </w:footnote>
  <w:footnote w:id="2">
    <w:p w:rsidR="0025066A" w:rsidRDefault="0025066A" w:rsidP="0046799A">
      <w:pPr>
        <w:pStyle w:val="FootnoteText"/>
      </w:pPr>
      <w:r>
        <w:rPr>
          <w:rStyle w:val="FootnoteReference"/>
          <w:rFonts w:eastAsia="Calibri"/>
        </w:rPr>
        <w:footnoteRef/>
      </w:r>
      <w:r>
        <w:t xml:space="preserve"> </w:t>
      </w:r>
      <w:r w:rsidRPr="00AB2EC3">
        <w:t xml:space="preserve">The </w:t>
      </w:r>
      <w:r>
        <w:t>working group</w:t>
      </w:r>
      <w:r w:rsidRPr="00AB2EC3">
        <w:t xml:space="preserve"> recognizes that there are professional guidelines for program evaluations and does not want to be seen as dictating an evaluation, but wants to ensure that the desired primary outcomes are the focus of the evaluation. For example, see Mattessich, Paul W. (2003) </w:t>
      </w:r>
      <w:r w:rsidRPr="00AB2EC3">
        <w:rPr>
          <w:i/>
        </w:rPr>
        <w:t xml:space="preserve">The Manager’s Guide to Program Evaluation: Planning, Contracting, </w:t>
      </w:r>
      <w:proofErr w:type="gramStart"/>
      <w:r w:rsidRPr="00AB2EC3">
        <w:rPr>
          <w:i/>
        </w:rPr>
        <w:t>Managing</w:t>
      </w:r>
      <w:proofErr w:type="gramEnd"/>
      <w:r w:rsidRPr="00AB2EC3">
        <w:rPr>
          <w:i/>
        </w:rPr>
        <w:t xml:space="preserve"> for Useful Results</w:t>
      </w:r>
      <w:r w:rsidRPr="00AB2EC3">
        <w:t>. St. Paul, MN: Fieldstone Alliance Publishing Center</w:t>
      </w:r>
      <w:r>
        <w:t xml:space="preserve"> and </w:t>
      </w:r>
      <w:hyperlink r:id="rId1" w:history="1">
        <w:r w:rsidRPr="008F6544">
          <w:rPr>
            <w:rStyle w:val="Hyperlink"/>
          </w:rPr>
          <w:t>http://www.wmich.edu/evalctr/archive_checklists/kec_feb07.pdf</w:t>
        </w:r>
      </w:hyperlink>
      <w:r w:rsidRPr="00AB2EC3">
        <w:t>.</w:t>
      </w:r>
    </w:p>
  </w:footnote>
  <w:footnote w:id="3">
    <w:p w:rsidR="0025066A" w:rsidRDefault="0025066A" w:rsidP="0058586B">
      <w:pPr>
        <w:spacing w:after="0"/>
      </w:pPr>
      <w:r w:rsidRPr="0058586B">
        <w:rPr>
          <w:rStyle w:val="FootnoteReference"/>
          <w:sz w:val="16"/>
          <w:szCs w:val="16"/>
        </w:rPr>
        <w:footnoteRef/>
      </w:r>
      <w:r>
        <w:t xml:space="preserve"> </w:t>
      </w:r>
      <w:r w:rsidRPr="00EE0E3A">
        <w:rPr>
          <w:sz w:val="16"/>
          <w:szCs w:val="16"/>
        </w:rPr>
        <w:t xml:space="preserve">Recommendations are consistent with </w:t>
      </w:r>
      <w:r w:rsidRPr="00EE0E3A">
        <w:rPr>
          <w:b/>
          <w:sz w:val="16"/>
          <w:szCs w:val="16"/>
        </w:rPr>
        <w:t xml:space="preserve">TCRP Report #149, Table 11: </w:t>
      </w:r>
      <w:r w:rsidRPr="00EE0E3A">
        <w:rPr>
          <w:b/>
          <w:i/>
          <w:sz w:val="16"/>
          <w:szCs w:val="16"/>
        </w:rPr>
        <w:t>Best Practices Checklist for Implementing a Safety Reporting System.</w:t>
      </w:r>
      <w:r w:rsidRPr="00EE0E3A" w:rsidDel="00BC68FA">
        <w:rPr>
          <w:b/>
          <w:szCs w:val="16"/>
        </w:rPr>
        <w:t xml:space="preserve"> </w:t>
      </w:r>
    </w:p>
  </w:footnote>
  <w:footnote w:id="4">
    <w:p w:rsidR="0025066A" w:rsidRPr="00EE0E3A" w:rsidRDefault="0025066A" w:rsidP="00B41651">
      <w:pPr>
        <w:keepNext/>
        <w:keepLines/>
        <w:autoSpaceDE w:val="0"/>
        <w:autoSpaceDN w:val="0"/>
        <w:adjustRightInd w:val="0"/>
        <w:rPr>
          <w:sz w:val="16"/>
          <w:szCs w:val="16"/>
        </w:rPr>
      </w:pPr>
      <w:r w:rsidRPr="0058586B">
        <w:rPr>
          <w:rStyle w:val="FootnoteReference"/>
          <w:sz w:val="16"/>
          <w:szCs w:val="16"/>
        </w:rPr>
        <w:footnoteRef/>
      </w:r>
      <w:r>
        <w:rPr>
          <w:sz w:val="20"/>
        </w:rPr>
        <w:t xml:space="preserve"> </w:t>
      </w:r>
      <w:r w:rsidRPr="00EE0E3A">
        <w:rPr>
          <w:sz w:val="16"/>
          <w:szCs w:val="16"/>
        </w:rPr>
        <w:t>For example, the report states that in 1995, “the Safety Board provided a survey form to the Brotherhood of Locomotive Engineers (BLE) and the UTU requesting a description of any unusual signal occurrences. A total of 95 complaints were received from both organizations dating from February 1993.” (</w:t>
      </w:r>
      <w:proofErr w:type="gramStart"/>
      <w:r w:rsidRPr="00EE0E3A">
        <w:rPr>
          <w:sz w:val="16"/>
          <w:szCs w:val="16"/>
        </w:rPr>
        <w:t>page</w:t>
      </w:r>
      <w:proofErr w:type="gramEnd"/>
      <w:r w:rsidRPr="00EE0E3A">
        <w:rPr>
          <w:sz w:val="16"/>
          <w:szCs w:val="16"/>
        </w:rPr>
        <w:t xml:space="preserve"> 103)</w:t>
      </w:r>
      <w:r>
        <w:rPr>
          <w:sz w:val="16"/>
          <w:szCs w:val="16"/>
        </w:rPr>
        <w:t xml:space="preserve">. </w:t>
      </w:r>
      <w:r w:rsidRPr="00EE0E3A">
        <w:rPr>
          <w:sz w:val="16"/>
          <w:szCs w:val="16"/>
        </w:rPr>
        <w:t>National Transportation Safety Board, Washington, DC 20594, Railroad Accident Report Collision and Derailment of  Maryland Rail Commuter MARC Train 286 and National Railroad Passenger Corporation; AMTRAK Train 29; Near Silver Spring, Maryland on February 16, 1996; PB97-916302 NTSB/RAR-97/02</w:t>
      </w:r>
      <w:r>
        <w:rPr>
          <w:sz w:val="16"/>
          <w:szCs w:val="16"/>
        </w:rPr>
        <w:t>.</w:t>
      </w:r>
    </w:p>
  </w:footnote>
  <w:footnote w:id="5">
    <w:p w:rsidR="0025066A" w:rsidRDefault="0025066A" w:rsidP="005B7F58">
      <w:pPr>
        <w:pStyle w:val="FootnoteText"/>
      </w:pPr>
      <w:r>
        <w:rPr>
          <w:rStyle w:val="FootnoteReference"/>
        </w:rPr>
        <w:footnoteRef/>
      </w:r>
      <w:r>
        <w:t xml:space="preserve"> Safety is defined as free from risk -- anything that helps avoid injuries, fatalities or equipment damage.</w:t>
      </w:r>
    </w:p>
  </w:footnote>
  <w:footnote w:id="6">
    <w:p w:rsidR="0025066A" w:rsidRDefault="0025066A" w:rsidP="005B7F58">
      <w:pPr>
        <w:pStyle w:val="FootnoteText"/>
      </w:pPr>
      <w:r>
        <w:rPr>
          <w:rStyle w:val="FootnoteReference"/>
        </w:rPr>
        <w:footnoteRef/>
      </w:r>
      <w:r>
        <w:t xml:space="preserve"> If initial report contains insufficient information to determine acceptance, report will receive provisional acceptance. Final eligibility will be determined when the interviewer obtains more information from the employee.</w:t>
      </w:r>
    </w:p>
  </w:footnote>
  <w:footnote w:id="7">
    <w:p w:rsidR="0025066A" w:rsidRPr="007C1A32" w:rsidRDefault="0025066A" w:rsidP="0058586B">
      <w:pPr>
        <w:pStyle w:val="BodyText"/>
        <w:keepNext/>
        <w:keepLines/>
        <w:spacing w:after="0"/>
        <w:rPr>
          <w:rFonts w:ascii="Calibri" w:hAnsi="Calibri" w:cs="Calibri"/>
          <w:sz w:val="20"/>
        </w:rPr>
      </w:pPr>
      <w:r w:rsidRPr="007C1A32">
        <w:rPr>
          <w:rStyle w:val="FootnoteReference"/>
          <w:rFonts w:ascii="Calibri" w:hAnsi="Calibri" w:cs="Calibri"/>
          <w:color w:val="auto"/>
          <w:sz w:val="16"/>
          <w:szCs w:val="16"/>
        </w:rPr>
        <w:footnoteRef/>
      </w:r>
      <w:r w:rsidRPr="007C1A32">
        <w:rPr>
          <w:rFonts w:ascii="Calibri" w:hAnsi="Calibri" w:cs="Calibri"/>
          <w:sz w:val="16"/>
          <w:szCs w:val="16"/>
        </w:rPr>
        <w:t xml:space="preserve"> Using specific events or trends highlighted by the Close Call reporting system to identify, target, or discipline employees is outsi</w:t>
      </w:r>
      <w:r>
        <w:rPr>
          <w:rFonts w:ascii="Calibri" w:hAnsi="Calibri" w:cs="Calibri"/>
          <w:sz w:val="16"/>
          <w:szCs w:val="16"/>
        </w:rPr>
        <w:t xml:space="preserve">de the spirit of this project. </w:t>
      </w:r>
      <w:r w:rsidRPr="007C1A32">
        <w:rPr>
          <w:rFonts w:ascii="Calibri" w:hAnsi="Calibri" w:cs="Calibri"/>
          <w:sz w:val="16"/>
          <w:szCs w:val="16"/>
        </w:rPr>
        <w:t xml:space="preserve">“Event recorder” means a device, designed to resist tampering, that monitors and records data on train speed, direction of motion, time, distance, throttle position, brake applications and operations (including train brake, independent brake, and, if so equipped, dynamic brake applications and operations), and, where the train is so equipped, cab signal aspect(s), over the most recent 48 hours of operation of the electrical system of the train on which it is installed. </w:t>
      </w:r>
    </w:p>
  </w:footnote>
  <w:footnote w:id="8">
    <w:p w:rsidR="0025066A" w:rsidRDefault="0025066A" w:rsidP="005B7F58">
      <w:pPr>
        <w:pStyle w:val="FootnoteText"/>
      </w:pPr>
      <w:r w:rsidRPr="007C1A32">
        <w:rPr>
          <w:rStyle w:val="FootnoteReference"/>
          <w:rFonts w:cs="Calibri"/>
        </w:rPr>
        <w:footnoteRef/>
      </w:r>
      <w:r w:rsidRPr="007C1A32">
        <w:rPr>
          <w:rFonts w:cs="Calibri"/>
        </w:rPr>
        <w:t xml:space="preserve"> It might also include other real-time monitoring activities.  </w:t>
      </w:r>
    </w:p>
  </w:footnote>
  <w:footnote w:id="9">
    <w:p w:rsidR="0025066A" w:rsidRPr="007C1A32" w:rsidRDefault="0025066A" w:rsidP="005B7F58">
      <w:pPr>
        <w:pStyle w:val="FootnoteText"/>
        <w:keepNext/>
        <w:keepLines/>
        <w:rPr>
          <w:rFonts w:cs="Calibri"/>
        </w:rPr>
      </w:pPr>
      <w:r w:rsidRPr="007C1A32">
        <w:rPr>
          <w:rStyle w:val="FootnoteReference"/>
          <w:rFonts w:cs="Calibri"/>
        </w:rPr>
        <w:footnoteRef/>
      </w:r>
      <w:r w:rsidRPr="007C1A32">
        <w:rPr>
          <w:rFonts w:cs="Calibri"/>
        </w:rPr>
        <w:t xml:space="preserve"> </w:t>
      </w:r>
      <w:r w:rsidRPr="007C1A32">
        <w:rPr>
          <w:rFonts w:cs="Calibri"/>
          <w:color w:val="000000"/>
        </w:rPr>
        <w:t>For the reporting system to be successful corrective actions must be implemented or no improvement will occur.  Since the close call reporting system is not directly concerned with the internal operations of any RTA, it will not be possible to demonstrate a direct causal link between specific close calls reported and corrective actions taken by the RTAs.  However, it may be possible to show an association between emerging patterns or trends in close calls and relate those to corrective actions taken by the RTAs.  It also may be able to evaluate whether RTAs are following through on the number of corrective actions they agree to address.</w:t>
      </w:r>
    </w:p>
  </w:footnote>
  <w:footnote w:id="10">
    <w:p w:rsidR="0025066A" w:rsidRDefault="0025066A" w:rsidP="005B7F58">
      <w:pPr>
        <w:pStyle w:val="FootnoteText"/>
      </w:pPr>
      <w:r>
        <w:rPr>
          <w:rStyle w:val="FootnoteReference"/>
        </w:rPr>
        <w:footnoteRef/>
      </w:r>
      <w:r>
        <w:t xml:space="preserve"> This information is given for guidance only.  Additional representatives may be added on a case-by-case basis to provide needed expertise. </w:t>
      </w:r>
    </w:p>
  </w:footnote>
  <w:footnote w:id="11">
    <w:p w:rsidR="0025066A" w:rsidRDefault="0025066A" w:rsidP="0046799A">
      <w:pPr>
        <w:pStyle w:val="FootnoteText"/>
      </w:pPr>
      <w:r>
        <w:rPr>
          <w:rStyle w:val="FootnoteReference"/>
          <w:rFonts w:eastAsia="Calibri"/>
        </w:rPr>
        <w:footnoteRef/>
      </w:r>
      <w:r>
        <w:t xml:space="preserve"> Guidance for creating logic models is available at </w:t>
      </w:r>
      <w:hyperlink r:id="rId2" w:history="1">
        <w:r w:rsidRPr="008F6544">
          <w:rPr>
            <w:rStyle w:val="Hyperlink"/>
          </w:rPr>
          <w:t>http://www.uwex.edu/ces/pdande/evaluation/evallogicmodel.html</w:t>
        </w:r>
      </w:hyperlink>
      <w:r>
        <w:t xml:space="preserve"> </w:t>
      </w:r>
    </w:p>
  </w:footnote>
  <w:footnote w:id="12">
    <w:p w:rsidR="0025066A" w:rsidRDefault="0025066A" w:rsidP="00AC04D2">
      <w:pPr>
        <w:pStyle w:val="FootnoteText"/>
      </w:pPr>
      <w:r>
        <w:rPr>
          <w:rStyle w:val="FootnoteReference"/>
        </w:rPr>
        <w:footnoteRef/>
      </w:r>
      <w:r>
        <w:t xml:space="preserve"> Source: National Institutes of Health, Office of Extramural Research; Certificates of Confidentiality Kiosk. </w:t>
      </w:r>
      <w:hyperlink r:id="rId3" w:history="1">
        <w:r w:rsidRPr="00B97BB5">
          <w:rPr>
            <w:rStyle w:val="Hyperlink"/>
          </w:rPr>
          <w:t>http://grants.nih.gov/grants/policy/coc/index.htm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6A" w:rsidRDefault="00250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8640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36707"/>
    <w:multiLevelType w:val="hybridMultilevel"/>
    <w:tmpl w:val="347AB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53C5F"/>
    <w:multiLevelType w:val="hybridMultilevel"/>
    <w:tmpl w:val="AFD89BD6"/>
    <w:lvl w:ilvl="0" w:tplc="AAB0C3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nsid w:val="02983669"/>
    <w:multiLevelType w:val="hybridMultilevel"/>
    <w:tmpl w:val="015C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628C4"/>
    <w:multiLevelType w:val="hybridMultilevel"/>
    <w:tmpl w:val="1A5EFBBA"/>
    <w:lvl w:ilvl="0" w:tplc="D8EA0F58">
      <w:start w:val="1"/>
      <w:numFmt w:val="bullet"/>
      <w:pStyle w:val="Bulleted"/>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097B51"/>
    <w:multiLevelType w:val="hybridMultilevel"/>
    <w:tmpl w:val="5880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03E14"/>
    <w:multiLevelType w:val="hybridMultilevel"/>
    <w:tmpl w:val="A5622B94"/>
    <w:lvl w:ilvl="0" w:tplc="D56406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nsid w:val="0FA9074E"/>
    <w:multiLevelType w:val="hybridMultilevel"/>
    <w:tmpl w:val="9A6A45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356B0"/>
    <w:multiLevelType w:val="hybridMultilevel"/>
    <w:tmpl w:val="B1F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02798"/>
    <w:multiLevelType w:val="hybridMultilevel"/>
    <w:tmpl w:val="1D6E4AB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A2F2D00"/>
    <w:multiLevelType w:val="hybridMultilevel"/>
    <w:tmpl w:val="39DE8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3D5A9B"/>
    <w:multiLevelType w:val="hybridMultilevel"/>
    <w:tmpl w:val="F960634A"/>
    <w:lvl w:ilvl="0" w:tplc="8A0C7670">
      <w:start w:val="1"/>
      <w:numFmt w:val="bullet"/>
      <w:lvlText w:val=""/>
      <w:lvlJc w:val="left"/>
      <w:pPr>
        <w:tabs>
          <w:tab w:val="num" w:pos="1080"/>
        </w:tabs>
        <w:ind w:left="1080" w:hanging="360"/>
      </w:pPr>
      <w:rPr>
        <w:rFonts w:ascii="Symbol" w:hAnsi="Symbol" w:hint="default"/>
      </w:rPr>
    </w:lvl>
    <w:lvl w:ilvl="1" w:tplc="8A0C767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0636DD"/>
    <w:multiLevelType w:val="hybridMultilevel"/>
    <w:tmpl w:val="D0F4D2F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D322C4C"/>
    <w:multiLevelType w:val="hybridMultilevel"/>
    <w:tmpl w:val="ECB6A2F8"/>
    <w:lvl w:ilvl="0" w:tplc="D56406D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9925C7"/>
    <w:multiLevelType w:val="hybridMultilevel"/>
    <w:tmpl w:val="1990FA6C"/>
    <w:lvl w:ilvl="0" w:tplc="AC2214D6">
      <w:start w:val="1"/>
      <w:numFmt w:val="bullet"/>
      <w:pStyle w:val="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751BBC"/>
    <w:multiLevelType w:val="hybridMultilevel"/>
    <w:tmpl w:val="41CE062E"/>
    <w:lvl w:ilvl="0" w:tplc="D56406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8D3B55"/>
    <w:multiLevelType w:val="hybridMultilevel"/>
    <w:tmpl w:val="D48A64B6"/>
    <w:lvl w:ilvl="0" w:tplc="7EC6E0E8">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7">
    <w:nsid w:val="26AC54DF"/>
    <w:multiLevelType w:val="hybridMultilevel"/>
    <w:tmpl w:val="583C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991D28"/>
    <w:multiLevelType w:val="hybridMultilevel"/>
    <w:tmpl w:val="8BEA2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F37A29"/>
    <w:multiLevelType w:val="hybridMultilevel"/>
    <w:tmpl w:val="3D789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F2990"/>
    <w:multiLevelType w:val="hybridMultilevel"/>
    <w:tmpl w:val="FDAEB5CE"/>
    <w:lvl w:ilvl="0" w:tplc="D56406D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E203EC6"/>
    <w:multiLevelType w:val="hybridMultilevel"/>
    <w:tmpl w:val="F960634A"/>
    <w:lvl w:ilvl="0" w:tplc="D56406D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12220FF"/>
    <w:multiLevelType w:val="hybridMultilevel"/>
    <w:tmpl w:val="2FB6B106"/>
    <w:lvl w:ilvl="0" w:tplc="D56406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3">
    <w:nsid w:val="3FF266F1"/>
    <w:multiLevelType w:val="hybridMultilevel"/>
    <w:tmpl w:val="B62E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1721C"/>
    <w:multiLevelType w:val="hybridMultilevel"/>
    <w:tmpl w:val="D8D035CC"/>
    <w:lvl w:ilvl="0" w:tplc="0409000F">
      <w:start w:val="1"/>
      <w:numFmt w:val="decimal"/>
      <w:lvlText w:val="%1."/>
      <w:lvlJc w:val="left"/>
      <w:pPr>
        <w:tabs>
          <w:tab w:val="num" w:pos="360"/>
        </w:tabs>
        <w:ind w:left="360" w:hanging="360"/>
      </w:pPr>
    </w:lvl>
    <w:lvl w:ilvl="1" w:tplc="9C52691A">
      <w:start w:val="1"/>
      <w:numFmt w:val="bullet"/>
      <w:lvlText w:val=""/>
      <w:lvlJc w:val="left"/>
      <w:pPr>
        <w:tabs>
          <w:tab w:val="num" w:pos="1080"/>
        </w:tabs>
        <w:ind w:left="1080" w:hanging="360"/>
      </w:pPr>
      <w:rPr>
        <w:rFonts w:ascii="Symbol" w:hAnsi="Symbol" w:hint="default"/>
        <w:color w:val="auto"/>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56D181C"/>
    <w:multiLevelType w:val="hybridMultilevel"/>
    <w:tmpl w:val="30242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991961"/>
    <w:multiLevelType w:val="multilevel"/>
    <w:tmpl w:val="C08660A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7F4203E"/>
    <w:multiLevelType w:val="hybridMultilevel"/>
    <w:tmpl w:val="F960634A"/>
    <w:lvl w:ilvl="0" w:tplc="D56406D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D92DB4"/>
    <w:multiLevelType w:val="hybridMultilevel"/>
    <w:tmpl w:val="2604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E75542"/>
    <w:multiLevelType w:val="hybridMultilevel"/>
    <w:tmpl w:val="D7C2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86BBF"/>
    <w:multiLevelType w:val="hybridMultilevel"/>
    <w:tmpl w:val="AC2815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091845"/>
    <w:multiLevelType w:val="hybridMultilevel"/>
    <w:tmpl w:val="A5622B94"/>
    <w:lvl w:ilvl="0" w:tplc="D56406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2">
    <w:nsid w:val="69E41D8E"/>
    <w:multiLevelType w:val="hybridMultilevel"/>
    <w:tmpl w:val="10AE2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F44A9"/>
    <w:multiLevelType w:val="hybridMultilevel"/>
    <w:tmpl w:val="9C6EA760"/>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6CF12832"/>
    <w:multiLevelType w:val="hybridMultilevel"/>
    <w:tmpl w:val="7AE8A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0362DF"/>
    <w:multiLevelType w:val="hybridMultilevel"/>
    <w:tmpl w:val="A478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1170C0"/>
    <w:multiLevelType w:val="hybridMultilevel"/>
    <w:tmpl w:val="770EE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16BB8"/>
    <w:multiLevelType w:val="hybridMultilevel"/>
    <w:tmpl w:val="7E2610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66FB5"/>
    <w:multiLevelType w:val="hybridMultilevel"/>
    <w:tmpl w:val="A86CB9AA"/>
    <w:lvl w:ilvl="0" w:tplc="D56406D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C47F5D"/>
    <w:multiLevelType w:val="hybridMultilevel"/>
    <w:tmpl w:val="D7C2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64E8D"/>
    <w:multiLevelType w:val="hybridMultilevel"/>
    <w:tmpl w:val="F960634A"/>
    <w:lvl w:ilvl="0" w:tplc="D56406D0">
      <w:start w:val="1"/>
      <w:numFmt w:val="decimal"/>
      <w:lvlText w:val="%1."/>
      <w:lvlJc w:val="left"/>
      <w:pPr>
        <w:tabs>
          <w:tab w:val="num" w:pos="720"/>
        </w:tabs>
        <w:ind w:left="720" w:hanging="360"/>
      </w:pPr>
      <w:rPr>
        <w:rFonts w:hint="default"/>
      </w:rPr>
    </w:lvl>
    <w:lvl w:ilvl="1" w:tplc="8A0C767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0A7733"/>
    <w:multiLevelType w:val="hybridMultilevel"/>
    <w:tmpl w:val="678E2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833814"/>
    <w:multiLevelType w:val="hybridMultilevel"/>
    <w:tmpl w:val="FC062834"/>
    <w:lvl w:ilvl="0" w:tplc="AAB0C3AA">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32"/>
  </w:num>
  <w:num w:numId="3">
    <w:abstractNumId w:val="34"/>
  </w:num>
  <w:num w:numId="4">
    <w:abstractNumId w:val="1"/>
  </w:num>
  <w:num w:numId="5">
    <w:abstractNumId w:val="17"/>
  </w:num>
  <w:num w:numId="6">
    <w:abstractNumId w:val="8"/>
  </w:num>
  <w:num w:numId="7">
    <w:abstractNumId w:val="0"/>
  </w:num>
  <w:num w:numId="8">
    <w:abstractNumId w:val="14"/>
  </w:num>
  <w:num w:numId="9">
    <w:abstractNumId w:val="4"/>
  </w:num>
  <w:num w:numId="10">
    <w:abstractNumId w:val="10"/>
  </w:num>
  <w:num w:numId="11">
    <w:abstractNumId w:val="24"/>
  </w:num>
  <w:num w:numId="12">
    <w:abstractNumId w:val="18"/>
  </w:num>
  <w:num w:numId="13">
    <w:abstractNumId w:val="25"/>
  </w:num>
  <w:num w:numId="14">
    <w:abstractNumId w:val="26"/>
  </w:num>
  <w:num w:numId="15">
    <w:abstractNumId w:val="9"/>
  </w:num>
  <w:num w:numId="16">
    <w:abstractNumId w:val="30"/>
  </w:num>
  <w:num w:numId="17">
    <w:abstractNumId w:val="42"/>
  </w:num>
  <w:num w:numId="18">
    <w:abstractNumId w:val="2"/>
  </w:num>
  <w:num w:numId="19">
    <w:abstractNumId w:val="38"/>
  </w:num>
  <w:num w:numId="20">
    <w:abstractNumId w:val="22"/>
  </w:num>
  <w:num w:numId="21">
    <w:abstractNumId w:val="31"/>
  </w:num>
  <w:num w:numId="22">
    <w:abstractNumId w:val="21"/>
  </w:num>
  <w:num w:numId="23">
    <w:abstractNumId w:val="40"/>
  </w:num>
  <w:num w:numId="24">
    <w:abstractNumId w:val="27"/>
  </w:num>
  <w:num w:numId="25">
    <w:abstractNumId w:val="13"/>
  </w:num>
  <w:num w:numId="26">
    <w:abstractNumId w:val="20"/>
  </w:num>
  <w:num w:numId="27">
    <w:abstractNumId w:val="16"/>
  </w:num>
  <w:num w:numId="28">
    <w:abstractNumId w:val="11"/>
  </w:num>
  <w:num w:numId="29">
    <w:abstractNumId w:val="15"/>
  </w:num>
  <w:num w:numId="30">
    <w:abstractNumId w:val="28"/>
  </w:num>
  <w:num w:numId="31">
    <w:abstractNumId w:val="39"/>
  </w:num>
  <w:num w:numId="32">
    <w:abstractNumId w:val="29"/>
  </w:num>
  <w:num w:numId="33">
    <w:abstractNumId w:val="3"/>
  </w:num>
  <w:num w:numId="34">
    <w:abstractNumId w:val="41"/>
  </w:num>
  <w:num w:numId="35">
    <w:abstractNumId w:val="35"/>
  </w:num>
  <w:num w:numId="36">
    <w:abstractNumId w:val="12"/>
  </w:num>
  <w:num w:numId="37">
    <w:abstractNumId w:val="36"/>
  </w:num>
  <w:num w:numId="38">
    <w:abstractNumId w:val="7"/>
  </w:num>
  <w:num w:numId="39">
    <w:abstractNumId w:val="5"/>
  </w:num>
  <w:num w:numId="40">
    <w:abstractNumId w:val="23"/>
  </w:num>
  <w:num w:numId="41">
    <w:abstractNumId w:val="6"/>
  </w:num>
  <w:num w:numId="42">
    <w:abstractNumId w:val="37"/>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4"/>
    <w:rsid w:val="00001BAE"/>
    <w:rsid w:val="000021E2"/>
    <w:rsid w:val="00003F07"/>
    <w:rsid w:val="000041B6"/>
    <w:rsid w:val="00005056"/>
    <w:rsid w:val="00014AE6"/>
    <w:rsid w:val="00016119"/>
    <w:rsid w:val="00021195"/>
    <w:rsid w:val="00023621"/>
    <w:rsid w:val="00026019"/>
    <w:rsid w:val="00027540"/>
    <w:rsid w:val="000278FA"/>
    <w:rsid w:val="00027D75"/>
    <w:rsid w:val="000300EF"/>
    <w:rsid w:val="0003223D"/>
    <w:rsid w:val="00032921"/>
    <w:rsid w:val="0003345E"/>
    <w:rsid w:val="0003349F"/>
    <w:rsid w:val="00044FA6"/>
    <w:rsid w:val="00046A8D"/>
    <w:rsid w:val="00046D2B"/>
    <w:rsid w:val="00047522"/>
    <w:rsid w:val="00050741"/>
    <w:rsid w:val="00051856"/>
    <w:rsid w:val="00052970"/>
    <w:rsid w:val="00061061"/>
    <w:rsid w:val="00064E86"/>
    <w:rsid w:val="000652D9"/>
    <w:rsid w:val="00070142"/>
    <w:rsid w:val="00070359"/>
    <w:rsid w:val="000803CE"/>
    <w:rsid w:val="00080889"/>
    <w:rsid w:val="000829CC"/>
    <w:rsid w:val="0008366E"/>
    <w:rsid w:val="000850EF"/>
    <w:rsid w:val="00090733"/>
    <w:rsid w:val="0009105A"/>
    <w:rsid w:val="00092C69"/>
    <w:rsid w:val="000A10EF"/>
    <w:rsid w:val="000A57C2"/>
    <w:rsid w:val="000A5B5C"/>
    <w:rsid w:val="000A622D"/>
    <w:rsid w:val="000B0D40"/>
    <w:rsid w:val="000B3103"/>
    <w:rsid w:val="000B70D3"/>
    <w:rsid w:val="000C023A"/>
    <w:rsid w:val="000C4C56"/>
    <w:rsid w:val="000C6A4B"/>
    <w:rsid w:val="000D1231"/>
    <w:rsid w:val="000D1832"/>
    <w:rsid w:val="000D27E3"/>
    <w:rsid w:val="000D5655"/>
    <w:rsid w:val="000D6633"/>
    <w:rsid w:val="000D6BB4"/>
    <w:rsid w:val="000D70CB"/>
    <w:rsid w:val="000D7F9B"/>
    <w:rsid w:val="000E197B"/>
    <w:rsid w:val="000E4DAE"/>
    <w:rsid w:val="000E56BB"/>
    <w:rsid w:val="000F2B1A"/>
    <w:rsid w:val="000F3D09"/>
    <w:rsid w:val="000F568A"/>
    <w:rsid w:val="000F6831"/>
    <w:rsid w:val="000F7C8A"/>
    <w:rsid w:val="001022D4"/>
    <w:rsid w:val="00106229"/>
    <w:rsid w:val="0010722C"/>
    <w:rsid w:val="001106FC"/>
    <w:rsid w:val="00110F5B"/>
    <w:rsid w:val="00112AF9"/>
    <w:rsid w:val="00113865"/>
    <w:rsid w:val="00113A3E"/>
    <w:rsid w:val="00115EF5"/>
    <w:rsid w:val="00117371"/>
    <w:rsid w:val="0012149E"/>
    <w:rsid w:val="001227C9"/>
    <w:rsid w:val="001263AC"/>
    <w:rsid w:val="0013108B"/>
    <w:rsid w:val="00131735"/>
    <w:rsid w:val="00132AD9"/>
    <w:rsid w:val="00134DBB"/>
    <w:rsid w:val="00136674"/>
    <w:rsid w:val="00140267"/>
    <w:rsid w:val="00140C00"/>
    <w:rsid w:val="00141DEB"/>
    <w:rsid w:val="00145383"/>
    <w:rsid w:val="00150D44"/>
    <w:rsid w:val="0015175C"/>
    <w:rsid w:val="001538B5"/>
    <w:rsid w:val="00156DE3"/>
    <w:rsid w:val="001623A0"/>
    <w:rsid w:val="00164111"/>
    <w:rsid w:val="0016511F"/>
    <w:rsid w:val="001706B1"/>
    <w:rsid w:val="00171CBB"/>
    <w:rsid w:val="00172F4E"/>
    <w:rsid w:val="00174AFC"/>
    <w:rsid w:val="001751D7"/>
    <w:rsid w:val="001752E8"/>
    <w:rsid w:val="00177DE2"/>
    <w:rsid w:val="00183358"/>
    <w:rsid w:val="00183CC2"/>
    <w:rsid w:val="00184DE3"/>
    <w:rsid w:val="0019447A"/>
    <w:rsid w:val="00194A18"/>
    <w:rsid w:val="00195AC4"/>
    <w:rsid w:val="00195FBB"/>
    <w:rsid w:val="0019646A"/>
    <w:rsid w:val="001A2174"/>
    <w:rsid w:val="001A230F"/>
    <w:rsid w:val="001A28CD"/>
    <w:rsid w:val="001A46F2"/>
    <w:rsid w:val="001A633A"/>
    <w:rsid w:val="001A6C2E"/>
    <w:rsid w:val="001A6C64"/>
    <w:rsid w:val="001A6FD3"/>
    <w:rsid w:val="001A769F"/>
    <w:rsid w:val="001B3861"/>
    <w:rsid w:val="001B4DC2"/>
    <w:rsid w:val="001B69E1"/>
    <w:rsid w:val="001C34DD"/>
    <w:rsid w:val="001C3C0A"/>
    <w:rsid w:val="001C45A2"/>
    <w:rsid w:val="001C64B8"/>
    <w:rsid w:val="001C6E4D"/>
    <w:rsid w:val="001D0D27"/>
    <w:rsid w:val="001D1C8E"/>
    <w:rsid w:val="001D1DC5"/>
    <w:rsid w:val="001E00C1"/>
    <w:rsid w:val="001E56E3"/>
    <w:rsid w:val="001E6003"/>
    <w:rsid w:val="001E6CCE"/>
    <w:rsid w:val="001E6E3C"/>
    <w:rsid w:val="001E7139"/>
    <w:rsid w:val="001F0732"/>
    <w:rsid w:val="001F3800"/>
    <w:rsid w:val="001F4D8C"/>
    <w:rsid w:val="001F5DC3"/>
    <w:rsid w:val="001F6D0B"/>
    <w:rsid w:val="001F6E20"/>
    <w:rsid w:val="00202048"/>
    <w:rsid w:val="00211507"/>
    <w:rsid w:val="0021218D"/>
    <w:rsid w:val="00215DBF"/>
    <w:rsid w:val="00222C27"/>
    <w:rsid w:val="0022314E"/>
    <w:rsid w:val="0023091C"/>
    <w:rsid w:val="00233F34"/>
    <w:rsid w:val="00240465"/>
    <w:rsid w:val="00240912"/>
    <w:rsid w:val="00243C76"/>
    <w:rsid w:val="002473A3"/>
    <w:rsid w:val="002502DB"/>
    <w:rsid w:val="0025066A"/>
    <w:rsid w:val="00253CAD"/>
    <w:rsid w:val="0025778F"/>
    <w:rsid w:val="00257E55"/>
    <w:rsid w:val="00261F5E"/>
    <w:rsid w:val="0026200C"/>
    <w:rsid w:val="00262D47"/>
    <w:rsid w:val="002645B6"/>
    <w:rsid w:val="00264AB3"/>
    <w:rsid w:val="00264E88"/>
    <w:rsid w:val="0027083F"/>
    <w:rsid w:val="00270B0E"/>
    <w:rsid w:val="002734CC"/>
    <w:rsid w:val="00275BE9"/>
    <w:rsid w:val="00280B8C"/>
    <w:rsid w:val="0028684D"/>
    <w:rsid w:val="00287245"/>
    <w:rsid w:val="0028769C"/>
    <w:rsid w:val="002906DE"/>
    <w:rsid w:val="0029158F"/>
    <w:rsid w:val="00291C16"/>
    <w:rsid w:val="00295DAF"/>
    <w:rsid w:val="002965A2"/>
    <w:rsid w:val="002A2320"/>
    <w:rsid w:val="002A2330"/>
    <w:rsid w:val="002A2484"/>
    <w:rsid w:val="002A29B6"/>
    <w:rsid w:val="002A4765"/>
    <w:rsid w:val="002A4E12"/>
    <w:rsid w:val="002A5497"/>
    <w:rsid w:val="002A6149"/>
    <w:rsid w:val="002A6E56"/>
    <w:rsid w:val="002A6FBF"/>
    <w:rsid w:val="002A7759"/>
    <w:rsid w:val="002B07A0"/>
    <w:rsid w:val="002B366E"/>
    <w:rsid w:val="002C41ED"/>
    <w:rsid w:val="002C5143"/>
    <w:rsid w:val="002C7E22"/>
    <w:rsid w:val="002D012F"/>
    <w:rsid w:val="002D16F6"/>
    <w:rsid w:val="002D3C8F"/>
    <w:rsid w:val="002E3F52"/>
    <w:rsid w:val="002E63B4"/>
    <w:rsid w:val="003006BD"/>
    <w:rsid w:val="0030305E"/>
    <w:rsid w:val="003035B0"/>
    <w:rsid w:val="003040B8"/>
    <w:rsid w:val="00304DFD"/>
    <w:rsid w:val="00314980"/>
    <w:rsid w:val="003162DF"/>
    <w:rsid w:val="003210E7"/>
    <w:rsid w:val="0032726F"/>
    <w:rsid w:val="00330012"/>
    <w:rsid w:val="0033276C"/>
    <w:rsid w:val="00332B0D"/>
    <w:rsid w:val="00335498"/>
    <w:rsid w:val="00337CBE"/>
    <w:rsid w:val="003423E2"/>
    <w:rsid w:val="00342A24"/>
    <w:rsid w:val="00347D8F"/>
    <w:rsid w:val="003515B6"/>
    <w:rsid w:val="003520BE"/>
    <w:rsid w:val="00353CE0"/>
    <w:rsid w:val="00356EB2"/>
    <w:rsid w:val="00360555"/>
    <w:rsid w:val="00360CA5"/>
    <w:rsid w:val="00361BA2"/>
    <w:rsid w:val="0036201E"/>
    <w:rsid w:val="0036295E"/>
    <w:rsid w:val="00367D17"/>
    <w:rsid w:val="003710A9"/>
    <w:rsid w:val="00373805"/>
    <w:rsid w:val="00374A27"/>
    <w:rsid w:val="00377A11"/>
    <w:rsid w:val="00380713"/>
    <w:rsid w:val="003823ED"/>
    <w:rsid w:val="00386297"/>
    <w:rsid w:val="0039081A"/>
    <w:rsid w:val="0039252F"/>
    <w:rsid w:val="003971E2"/>
    <w:rsid w:val="003A044A"/>
    <w:rsid w:val="003A0ABA"/>
    <w:rsid w:val="003A1626"/>
    <w:rsid w:val="003A56B3"/>
    <w:rsid w:val="003A62B3"/>
    <w:rsid w:val="003A680E"/>
    <w:rsid w:val="003B1188"/>
    <w:rsid w:val="003B1583"/>
    <w:rsid w:val="003B211E"/>
    <w:rsid w:val="003B6B36"/>
    <w:rsid w:val="003B6E7D"/>
    <w:rsid w:val="003C1F4B"/>
    <w:rsid w:val="003C65B2"/>
    <w:rsid w:val="003C7D09"/>
    <w:rsid w:val="003D466F"/>
    <w:rsid w:val="003D56CC"/>
    <w:rsid w:val="003D7071"/>
    <w:rsid w:val="003E1E24"/>
    <w:rsid w:val="003F416E"/>
    <w:rsid w:val="003F4544"/>
    <w:rsid w:val="003F5D24"/>
    <w:rsid w:val="003F6479"/>
    <w:rsid w:val="003F65B6"/>
    <w:rsid w:val="003F6635"/>
    <w:rsid w:val="003F666D"/>
    <w:rsid w:val="003F66B0"/>
    <w:rsid w:val="00401F0B"/>
    <w:rsid w:val="0040489D"/>
    <w:rsid w:val="004061FD"/>
    <w:rsid w:val="00407CEE"/>
    <w:rsid w:val="00407DC3"/>
    <w:rsid w:val="004103BE"/>
    <w:rsid w:val="00414531"/>
    <w:rsid w:val="00414CC9"/>
    <w:rsid w:val="0041691C"/>
    <w:rsid w:val="00416A0A"/>
    <w:rsid w:val="00416AF2"/>
    <w:rsid w:val="00416CB0"/>
    <w:rsid w:val="00422188"/>
    <w:rsid w:val="00422843"/>
    <w:rsid w:val="00422D26"/>
    <w:rsid w:val="0042373A"/>
    <w:rsid w:val="00424ADD"/>
    <w:rsid w:val="00424EEE"/>
    <w:rsid w:val="00426FF2"/>
    <w:rsid w:val="004333D4"/>
    <w:rsid w:val="00434EA4"/>
    <w:rsid w:val="00435236"/>
    <w:rsid w:val="00435FC1"/>
    <w:rsid w:val="004402C2"/>
    <w:rsid w:val="0044606A"/>
    <w:rsid w:val="0044707A"/>
    <w:rsid w:val="0045090B"/>
    <w:rsid w:val="00454617"/>
    <w:rsid w:val="0045608B"/>
    <w:rsid w:val="004576A2"/>
    <w:rsid w:val="004606D9"/>
    <w:rsid w:val="00460A06"/>
    <w:rsid w:val="00464E1A"/>
    <w:rsid w:val="00465ACA"/>
    <w:rsid w:val="0046640A"/>
    <w:rsid w:val="004672F5"/>
    <w:rsid w:val="0046799A"/>
    <w:rsid w:val="00475716"/>
    <w:rsid w:val="00477150"/>
    <w:rsid w:val="0048322D"/>
    <w:rsid w:val="00484B38"/>
    <w:rsid w:val="00485150"/>
    <w:rsid w:val="004900D1"/>
    <w:rsid w:val="004941C7"/>
    <w:rsid w:val="0049632C"/>
    <w:rsid w:val="004A0114"/>
    <w:rsid w:val="004A2BE8"/>
    <w:rsid w:val="004A36B2"/>
    <w:rsid w:val="004A4C88"/>
    <w:rsid w:val="004A68C8"/>
    <w:rsid w:val="004A6F3F"/>
    <w:rsid w:val="004B0A45"/>
    <w:rsid w:val="004B4E6A"/>
    <w:rsid w:val="004B56E1"/>
    <w:rsid w:val="004B696A"/>
    <w:rsid w:val="004B7004"/>
    <w:rsid w:val="004B7704"/>
    <w:rsid w:val="004B7AB9"/>
    <w:rsid w:val="004C31A6"/>
    <w:rsid w:val="004C3210"/>
    <w:rsid w:val="004C37F6"/>
    <w:rsid w:val="004C3F5E"/>
    <w:rsid w:val="004C50D3"/>
    <w:rsid w:val="004C78CC"/>
    <w:rsid w:val="004D0D24"/>
    <w:rsid w:val="004D2586"/>
    <w:rsid w:val="004D4398"/>
    <w:rsid w:val="004D58A7"/>
    <w:rsid w:val="004E15A3"/>
    <w:rsid w:val="004E1AAC"/>
    <w:rsid w:val="004E1D73"/>
    <w:rsid w:val="004E264E"/>
    <w:rsid w:val="004E4464"/>
    <w:rsid w:val="004F0957"/>
    <w:rsid w:val="004F1896"/>
    <w:rsid w:val="004F4AC5"/>
    <w:rsid w:val="004F66A2"/>
    <w:rsid w:val="0050325F"/>
    <w:rsid w:val="005042BC"/>
    <w:rsid w:val="00504F3E"/>
    <w:rsid w:val="00511A8C"/>
    <w:rsid w:val="005134B4"/>
    <w:rsid w:val="00514506"/>
    <w:rsid w:val="00514BAD"/>
    <w:rsid w:val="00515FCD"/>
    <w:rsid w:val="005165C3"/>
    <w:rsid w:val="00517329"/>
    <w:rsid w:val="00517E77"/>
    <w:rsid w:val="0052095F"/>
    <w:rsid w:val="005214DA"/>
    <w:rsid w:val="00522C66"/>
    <w:rsid w:val="00527DB1"/>
    <w:rsid w:val="00530039"/>
    <w:rsid w:val="0053043A"/>
    <w:rsid w:val="00531B73"/>
    <w:rsid w:val="0053211C"/>
    <w:rsid w:val="0053259D"/>
    <w:rsid w:val="005347AF"/>
    <w:rsid w:val="005358C6"/>
    <w:rsid w:val="0053591F"/>
    <w:rsid w:val="00535B9F"/>
    <w:rsid w:val="0053743C"/>
    <w:rsid w:val="005431F6"/>
    <w:rsid w:val="005444DE"/>
    <w:rsid w:val="00544FDB"/>
    <w:rsid w:val="00546F73"/>
    <w:rsid w:val="00550F74"/>
    <w:rsid w:val="005531C5"/>
    <w:rsid w:val="00553247"/>
    <w:rsid w:val="00553B04"/>
    <w:rsid w:val="00556012"/>
    <w:rsid w:val="00556B1A"/>
    <w:rsid w:val="0056081A"/>
    <w:rsid w:val="00562A09"/>
    <w:rsid w:val="005631D1"/>
    <w:rsid w:val="005668B2"/>
    <w:rsid w:val="00571393"/>
    <w:rsid w:val="00577064"/>
    <w:rsid w:val="005800B0"/>
    <w:rsid w:val="0058218D"/>
    <w:rsid w:val="005828F4"/>
    <w:rsid w:val="0058469D"/>
    <w:rsid w:val="0058586B"/>
    <w:rsid w:val="00586C40"/>
    <w:rsid w:val="005871F3"/>
    <w:rsid w:val="0059064C"/>
    <w:rsid w:val="00591AE9"/>
    <w:rsid w:val="00591E89"/>
    <w:rsid w:val="00591F6F"/>
    <w:rsid w:val="00592EB8"/>
    <w:rsid w:val="005933FD"/>
    <w:rsid w:val="00594B8D"/>
    <w:rsid w:val="005A0B78"/>
    <w:rsid w:val="005A255F"/>
    <w:rsid w:val="005A27B9"/>
    <w:rsid w:val="005A4DA2"/>
    <w:rsid w:val="005A5D6F"/>
    <w:rsid w:val="005A731B"/>
    <w:rsid w:val="005B03F7"/>
    <w:rsid w:val="005B0592"/>
    <w:rsid w:val="005B1383"/>
    <w:rsid w:val="005B298A"/>
    <w:rsid w:val="005B3F22"/>
    <w:rsid w:val="005B62B1"/>
    <w:rsid w:val="005B674F"/>
    <w:rsid w:val="005B67E9"/>
    <w:rsid w:val="005B6DE0"/>
    <w:rsid w:val="005B7003"/>
    <w:rsid w:val="005B7E8A"/>
    <w:rsid w:val="005B7F58"/>
    <w:rsid w:val="005C08E8"/>
    <w:rsid w:val="005C12A5"/>
    <w:rsid w:val="005C1E20"/>
    <w:rsid w:val="005C24B6"/>
    <w:rsid w:val="005D0DAD"/>
    <w:rsid w:val="005D4B1A"/>
    <w:rsid w:val="005D6533"/>
    <w:rsid w:val="005D72E3"/>
    <w:rsid w:val="005D7F46"/>
    <w:rsid w:val="005E215D"/>
    <w:rsid w:val="005E407E"/>
    <w:rsid w:val="005E4676"/>
    <w:rsid w:val="005F0EA2"/>
    <w:rsid w:val="005F1292"/>
    <w:rsid w:val="005F27D9"/>
    <w:rsid w:val="005F4D2F"/>
    <w:rsid w:val="005F6E1D"/>
    <w:rsid w:val="005F7884"/>
    <w:rsid w:val="00600ED5"/>
    <w:rsid w:val="00602257"/>
    <w:rsid w:val="00605A15"/>
    <w:rsid w:val="00605B1A"/>
    <w:rsid w:val="00606A79"/>
    <w:rsid w:val="00607818"/>
    <w:rsid w:val="00613FE4"/>
    <w:rsid w:val="00614F6E"/>
    <w:rsid w:val="0061528A"/>
    <w:rsid w:val="00623F15"/>
    <w:rsid w:val="006243C9"/>
    <w:rsid w:val="00625BF8"/>
    <w:rsid w:val="00625FC7"/>
    <w:rsid w:val="006269B8"/>
    <w:rsid w:val="00631BF0"/>
    <w:rsid w:val="00631D26"/>
    <w:rsid w:val="006323CF"/>
    <w:rsid w:val="00633CCB"/>
    <w:rsid w:val="0063606D"/>
    <w:rsid w:val="0063795D"/>
    <w:rsid w:val="00641D43"/>
    <w:rsid w:val="006448F3"/>
    <w:rsid w:val="00651F58"/>
    <w:rsid w:val="006539FE"/>
    <w:rsid w:val="0065479C"/>
    <w:rsid w:val="00654A8D"/>
    <w:rsid w:val="00655937"/>
    <w:rsid w:val="00656795"/>
    <w:rsid w:val="00657A95"/>
    <w:rsid w:val="00660E3F"/>
    <w:rsid w:val="00661E00"/>
    <w:rsid w:val="00665C0E"/>
    <w:rsid w:val="00670BF3"/>
    <w:rsid w:val="00675889"/>
    <w:rsid w:val="006760DE"/>
    <w:rsid w:val="006769B1"/>
    <w:rsid w:val="006773BF"/>
    <w:rsid w:val="006809F5"/>
    <w:rsid w:val="006822CB"/>
    <w:rsid w:val="006846E6"/>
    <w:rsid w:val="00685D3E"/>
    <w:rsid w:val="00697270"/>
    <w:rsid w:val="006B138C"/>
    <w:rsid w:val="006C1605"/>
    <w:rsid w:val="006C309C"/>
    <w:rsid w:val="006C3A14"/>
    <w:rsid w:val="006C5662"/>
    <w:rsid w:val="006C6136"/>
    <w:rsid w:val="006C7CC7"/>
    <w:rsid w:val="006D4FB2"/>
    <w:rsid w:val="006D67B7"/>
    <w:rsid w:val="006D704D"/>
    <w:rsid w:val="006E06C9"/>
    <w:rsid w:val="006E0CB7"/>
    <w:rsid w:val="006E126A"/>
    <w:rsid w:val="006E64B8"/>
    <w:rsid w:val="006F4B2D"/>
    <w:rsid w:val="006F517B"/>
    <w:rsid w:val="006F583A"/>
    <w:rsid w:val="006F5B0E"/>
    <w:rsid w:val="006F6843"/>
    <w:rsid w:val="006F6AE9"/>
    <w:rsid w:val="006F72A3"/>
    <w:rsid w:val="00703314"/>
    <w:rsid w:val="007034F0"/>
    <w:rsid w:val="00704372"/>
    <w:rsid w:val="007056ED"/>
    <w:rsid w:val="00711BF5"/>
    <w:rsid w:val="00712E6E"/>
    <w:rsid w:val="00714A8C"/>
    <w:rsid w:val="00720FEA"/>
    <w:rsid w:val="00722B15"/>
    <w:rsid w:val="007235F7"/>
    <w:rsid w:val="00726812"/>
    <w:rsid w:val="007277EC"/>
    <w:rsid w:val="007310E6"/>
    <w:rsid w:val="00732C1A"/>
    <w:rsid w:val="00732ECA"/>
    <w:rsid w:val="00741448"/>
    <w:rsid w:val="007441DF"/>
    <w:rsid w:val="00753B3C"/>
    <w:rsid w:val="0075479A"/>
    <w:rsid w:val="00754F34"/>
    <w:rsid w:val="0075641B"/>
    <w:rsid w:val="00761B3C"/>
    <w:rsid w:val="0076518A"/>
    <w:rsid w:val="00765193"/>
    <w:rsid w:val="007717D6"/>
    <w:rsid w:val="00774382"/>
    <w:rsid w:val="00776460"/>
    <w:rsid w:val="007776EC"/>
    <w:rsid w:val="007828DD"/>
    <w:rsid w:val="0078296B"/>
    <w:rsid w:val="00783DCD"/>
    <w:rsid w:val="007847FE"/>
    <w:rsid w:val="00785055"/>
    <w:rsid w:val="00787306"/>
    <w:rsid w:val="007903DA"/>
    <w:rsid w:val="00790A44"/>
    <w:rsid w:val="00795138"/>
    <w:rsid w:val="007A1474"/>
    <w:rsid w:val="007A2519"/>
    <w:rsid w:val="007A300C"/>
    <w:rsid w:val="007A5179"/>
    <w:rsid w:val="007B2185"/>
    <w:rsid w:val="007B29CB"/>
    <w:rsid w:val="007C1A32"/>
    <w:rsid w:val="007C380B"/>
    <w:rsid w:val="007C4AD6"/>
    <w:rsid w:val="007C60D1"/>
    <w:rsid w:val="007C6D0E"/>
    <w:rsid w:val="007C7720"/>
    <w:rsid w:val="007C7AA6"/>
    <w:rsid w:val="007D5186"/>
    <w:rsid w:val="007D75CB"/>
    <w:rsid w:val="007E183E"/>
    <w:rsid w:val="007E5C2A"/>
    <w:rsid w:val="007E69BA"/>
    <w:rsid w:val="007F2CED"/>
    <w:rsid w:val="007F3379"/>
    <w:rsid w:val="007F535D"/>
    <w:rsid w:val="007F6361"/>
    <w:rsid w:val="007F6782"/>
    <w:rsid w:val="007F6EA0"/>
    <w:rsid w:val="00801E4D"/>
    <w:rsid w:val="00802A39"/>
    <w:rsid w:val="00803C1E"/>
    <w:rsid w:val="00804F50"/>
    <w:rsid w:val="00804FDF"/>
    <w:rsid w:val="00806C28"/>
    <w:rsid w:val="00813837"/>
    <w:rsid w:val="008222F1"/>
    <w:rsid w:val="00825ACA"/>
    <w:rsid w:val="008278D5"/>
    <w:rsid w:val="00831027"/>
    <w:rsid w:val="00832158"/>
    <w:rsid w:val="00834577"/>
    <w:rsid w:val="00844213"/>
    <w:rsid w:val="00850482"/>
    <w:rsid w:val="00850D47"/>
    <w:rsid w:val="00851FF8"/>
    <w:rsid w:val="008534EA"/>
    <w:rsid w:val="008568CC"/>
    <w:rsid w:val="00857755"/>
    <w:rsid w:val="00860A9F"/>
    <w:rsid w:val="00860F25"/>
    <w:rsid w:val="00861FF4"/>
    <w:rsid w:val="00863CB5"/>
    <w:rsid w:val="008719C1"/>
    <w:rsid w:val="00872DAA"/>
    <w:rsid w:val="00873819"/>
    <w:rsid w:val="008779CE"/>
    <w:rsid w:val="00881D79"/>
    <w:rsid w:val="00882D0E"/>
    <w:rsid w:val="00883409"/>
    <w:rsid w:val="0088429D"/>
    <w:rsid w:val="00884795"/>
    <w:rsid w:val="00885A69"/>
    <w:rsid w:val="00885BC8"/>
    <w:rsid w:val="00892595"/>
    <w:rsid w:val="00894D74"/>
    <w:rsid w:val="008A0120"/>
    <w:rsid w:val="008A1ACB"/>
    <w:rsid w:val="008A21C7"/>
    <w:rsid w:val="008A29B6"/>
    <w:rsid w:val="008A2CA5"/>
    <w:rsid w:val="008A3233"/>
    <w:rsid w:val="008A6527"/>
    <w:rsid w:val="008B41AD"/>
    <w:rsid w:val="008B5755"/>
    <w:rsid w:val="008B5D78"/>
    <w:rsid w:val="008B637E"/>
    <w:rsid w:val="008C0701"/>
    <w:rsid w:val="008C0898"/>
    <w:rsid w:val="008C7307"/>
    <w:rsid w:val="008C7786"/>
    <w:rsid w:val="008C794F"/>
    <w:rsid w:val="008D115F"/>
    <w:rsid w:val="008D23BD"/>
    <w:rsid w:val="008D37CC"/>
    <w:rsid w:val="008D4374"/>
    <w:rsid w:val="008D48F1"/>
    <w:rsid w:val="008D4D72"/>
    <w:rsid w:val="008D5301"/>
    <w:rsid w:val="008D6249"/>
    <w:rsid w:val="008D7209"/>
    <w:rsid w:val="008E02C4"/>
    <w:rsid w:val="008E60F8"/>
    <w:rsid w:val="008E7EDD"/>
    <w:rsid w:val="008F04FA"/>
    <w:rsid w:val="008F0B46"/>
    <w:rsid w:val="008F577B"/>
    <w:rsid w:val="008F7176"/>
    <w:rsid w:val="009014D0"/>
    <w:rsid w:val="009041E0"/>
    <w:rsid w:val="00904C80"/>
    <w:rsid w:val="00904EF4"/>
    <w:rsid w:val="00907F93"/>
    <w:rsid w:val="009109F5"/>
    <w:rsid w:val="0091633E"/>
    <w:rsid w:val="00920E2E"/>
    <w:rsid w:val="00930025"/>
    <w:rsid w:val="00930FAB"/>
    <w:rsid w:val="009331AF"/>
    <w:rsid w:val="00940961"/>
    <w:rsid w:val="009456B4"/>
    <w:rsid w:val="00945F04"/>
    <w:rsid w:val="00947264"/>
    <w:rsid w:val="00947533"/>
    <w:rsid w:val="00950DE3"/>
    <w:rsid w:val="00952903"/>
    <w:rsid w:val="00954800"/>
    <w:rsid w:val="00960DC2"/>
    <w:rsid w:val="0096382C"/>
    <w:rsid w:val="0096519B"/>
    <w:rsid w:val="00967972"/>
    <w:rsid w:val="009715A1"/>
    <w:rsid w:val="00971DE5"/>
    <w:rsid w:val="00972A45"/>
    <w:rsid w:val="00972F47"/>
    <w:rsid w:val="00973000"/>
    <w:rsid w:val="00973451"/>
    <w:rsid w:val="009819D9"/>
    <w:rsid w:val="00993CAC"/>
    <w:rsid w:val="009943D6"/>
    <w:rsid w:val="0099467D"/>
    <w:rsid w:val="009953AA"/>
    <w:rsid w:val="00996ED3"/>
    <w:rsid w:val="009970FF"/>
    <w:rsid w:val="00997E8D"/>
    <w:rsid w:val="009A207B"/>
    <w:rsid w:val="009A4550"/>
    <w:rsid w:val="009A68A1"/>
    <w:rsid w:val="009A785D"/>
    <w:rsid w:val="009B10EE"/>
    <w:rsid w:val="009B2615"/>
    <w:rsid w:val="009B46A9"/>
    <w:rsid w:val="009B53DF"/>
    <w:rsid w:val="009B6804"/>
    <w:rsid w:val="009C038A"/>
    <w:rsid w:val="009C19D5"/>
    <w:rsid w:val="009C1C10"/>
    <w:rsid w:val="009C2C0F"/>
    <w:rsid w:val="009C359E"/>
    <w:rsid w:val="009C5B57"/>
    <w:rsid w:val="009C7E7B"/>
    <w:rsid w:val="009D32E2"/>
    <w:rsid w:val="009E12D4"/>
    <w:rsid w:val="009E1F6F"/>
    <w:rsid w:val="009E26AD"/>
    <w:rsid w:val="009E5630"/>
    <w:rsid w:val="009F1BCA"/>
    <w:rsid w:val="009F2A20"/>
    <w:rsid w:val="009F2AEE"/>
    <w:rsid w:val="009F7176"/>
    <w:rsid w:val="009F7DAE"/>
    <w:rsid w:val="00A03842"/>
    <w:rsid w:val="00A03D77"/>
    <w:rsid w:val="00A040F8"/>
    <w:rsid w:val="00A06EC6"/>
    <w:rsid w:val="00A10021"/>
    <w:rsid w:val="00A10834"/>
    <w:rsid w:val="00A109D5"/>
    <w:rsid w:val="00A11CCA"/>
    <w:rsid w:val="00A11F65"/>
    <w:rsid w:val="00A1240C"/>
    <w:rsid w:val="00A142C1"/>
    <w:rsid w:val="00A162A7"/>
    <w:rsid w:val="00A166EA"/>
    <w:rsid w:val="00A17561"/>
    <w:rsid w:val="00A2172F"/>
    <w:rsid w:val="00A23BA3"/>
    <w:rsid w:val="00A266FA"/>
    <w:rsid w:val="00A306F4"/>
    <w:rsid w:val="00A31292"/>
    <w:rsid w:val="00A33EB5"/>
    <w:rsid w:val="00A356DF"/>
    <w:rsid w:val="00A35B43"/>
    <w:rsid w:val="00A43D6A"/>
    <w:rsid w:val="00A44A03"/>
    <w:rsid w:val="00A53EBC"/>
    <w:rsid w:val="00A541F2"/>
    <w:rsid w:val="00A54E94"/>
    <w:rsid w:val="00A56BC7"/>
    <w:rsid w:val="00A61807"/>
    <w:rsid w:val="00A61BAC"/>
    <w:rsid w:val="00A62AD7"/>
    <w:rsid w:val="00A6439E"/>
    <w:rsid w:val="00A66E5B"/>
    <w:rsid w:val="00A70C70"/>
    <w:rsid w:val="00A71D39"/>
    <w:rsid w:val="00A7211F"/>
    <w:rsid w:val="00A741F3"/>
    <w:rsid w:val="00A772A8"/>
    <w:rsid w:val="00A8172E"/>
    <w:rsid w:val="00A83DB7"/>
    <w:rsid w:val="00A84238"/>
    <w:rsid w:val="00A86D08"/>
    <w:rsid w:val="00A90F12"/>
    <w:rsid w:val="00A95CEF"/>
    <w:rsid w:val="00AA1379"/>
    <w:rsid w:val="00AA229E"/>
    <w:rsid w:val="00AA3062"/>
    <w:rsid w:val="00AA67D6"/>
    <w:rsid w:val="00AB046B"/>
    <w:rsid w:val="00AB3523"/>
    <w:rsid w:val="00AB3DDA"/>
    <w:rsid w:val="00AB4E09"/>
    <w:rsid w:val="00AB55BA"/>
    <w:rsid w:val="00AB60E8"/>
    <w:rsid w:val="00AC04D2"/>
    <w:rsid w:val="00AC1217"/>
    <w:rsid w:val="00AC33F6"/>
    <w:rsid w:val="00AC5A40"/>
    <w:rsid w:val="00AC60C1"/>
    <w:rsid w:val="00AC65B7"/>
    <w:rsid w:val="00AC6D4D"/>
    <w:rsid w:val="00AD04F0"/>
    <w:rsid w:val="00AD1140"/>
    <w:rsid w:val="00AD3BFE"/>
    <w:rsid w:val="00AE1A64"/>
    <w:rsid w:val="00AE24AF"/>
    <w:rsid w:val="00AE2EEC"/>
    <w:rsid w:val="00AE4D30"/>
    <w:rsid w:val="00AE50E7"/>
    <w:rsid w:val="00AE5D7A"/>
    <w:rsid w:val="00AE6E3E"/>
    <w:rsid w:val="00AF0080"/>
    <w:rsid w:val="00AF07BD"/>
    <w:rsid w:val="00AF486A"/>
    <w:rsid w:val="00AF50CC"/>
    <w:rsid w:val="00B001DF"/>
    <w:rsid w:val="00B0044A"/>
    <w:rsid w:val="00B02FB7"/>
    <w:rsid w:val="00B10D64"/>
    <w:rsid w:val="00B11F5D"/>
    <w:rsid w:val="00B208A1"/>
    <w:rsid w:val="00B2151F"/>
    <w:rsid w:val="00B21B3A"/>
    <w:rsid w:val="00B2235E"/>
    <w:rsid w:val="00B22648"/>
    <w:rsid w:val="00B228DC"/>
    <w:rsid w:val="00B276ED"/>
    <w:rsid w:val="00B340DF"/>
    <w:rsid w:val="00B3568F"/>
    <w:rsid w:val="00B35DB6"/>
    <w:rsid w:val="00B41651"/>
    <w:rsid w:val="00B42348"/>
    <w:rsid w:val="00B44253"/>
    <w:rsid w:val="00B447B2"/>
    <w:rsid w:val="00B501CD"/>
    <w:rsid w:val="00B512A2"/>
    <w:rsid w:val="00B552B6"/>
    <w:rsid w:val="00B5538E"/>
    <w:rsid w:val="00B5795C"/>
    <w:rsid w:val="00B623C7"/>
    <w:rsid w:val="00B641CD"/>
    <w:rsid w:val="00B738AD"/>
    <w:rsid w:val="00B73A19"/>
    <w:rsid w:val="00B73F48"/>
    <w:rsid w:val="00B73F5F"/>
    <w:rsid w:val="00B74CE8"/>
    <w:rsid w:val="00B75D7C"/>
    <w:rsid w:val="00B77B30"/>
    <w:rsid w:val="00B77C28"/>
    <w:rsid w:val="00B80642"/>
    <w:rsid w:val="00B86A89"/>
    <w:rsid w:val="00B938CC"/>
    <w:rsid w:val="00B939ED"/>
    <w:rsid w:val="00B941FA"/>
    <w:rsid w:val="00B9795E"/>
    <w:rsid w:val="00BA3370"/>
    <w:rsid w:val="00BA6F7D"/>
    <w:rsid w:val="00BB015A"/>
    <w:rsid w:val="00BB15A0"/>
    <w:rsid w:val="00BB29D4"/>
    <w:rsid w:val="00BC0BF4"/>
    <w:rsid w:val="00BC68FA"/>
    <w:rsid w:val="00BD0B61"/>
    <w:rsid w:val="00BD12C9"/>
    <w:rsid w:val="00BD2C22"/>
    <w:rsid w:val="00BD331F"/>
    <w:rsid w:val="00BD46F4"/>
    <w:rsid w:val="00BD4D5A"/>
    <w:rsid w:val="00BD5372"/>
    <w:rsid w:val="00BD63FB"/>
    <w:rsid w:val="00BD6EDF"/>
    <w:rsid w:val="00BE0295"/>
    <w:rsid w:val="00BE0D7B"/>
    <w:rsid w:val="00BE1501"/>
    <w:rsid w:val="00BE250A"/>
    <w:rsid w:val="00BE6088"/>
    <w:rsid w:val="00BE6AA2"/>
    <w:rsid w:val="00BF079C"/>
    <w:rsid w:val="00BF1B03"/>
    <w:rsid w:val="00BF1D1F"/>
    <w:rsid w:val="00BF2713"/>
    <w:rsid w:val="00BF421C"/>
    <w:rsid w:val="00BF4D5B"/>
    <w:rsid w:val="00C01D37"/>
    <w:rsid w:val="00C057CB"/>
    <w:rsid w:val="00C06068"/>
    <w:rsid w:val="00C06393"/>
    <w:rsid w:val="00C116FB"/>
    <w:rsid w:val="00C11AFC"/>
    <w:rsid w:val="00C12118"/>
    <w:rsid w:val="00C13170"/>
    <w:rsid w:val="00C17469"/>
    <w:rsid w:val="00C23B64"/>
    <w:rsid w:val="00C23C62"/>
    <w:rsid w:val="00C308BD"/>
    <w:rsid w:val="00C33C7C"/>
    <w:rsid w:val="00C43F05"/>
    <w:rsid w:val="00C45F29"/>
    <w:rsid w:val="00C46F9E"/>
    <w:rsid w:val="00C47CFA"/>
    <w:rsid w:val="00C510A9"/>
    <w:rsid w:val="00C51354"/>
    <w:rsid w:val="00C5311F"/>
    <w:rsid w:val="00C53F3E"/>
    <w:rsid w:val="00C56991"/>
    <w:rsid w:val="00C56B8D"/>
    <w:rsid w:val="00C645D1"/>
    <w:rsid w:val="00C64900"/>
    <w:rsid w:val="00C654A1"/>
    <w:rsid w:val="00C66452"/>
    <w:rsid w:val="00C6662A"/>
    <w:rsid w:val="00C714AD"/>
    <w:rsid w:val="00C72747"/>
    <w:rsid w:val="00C72EAF"/>
    <w:rsid w:val="00C8082F"/>
    <w:rsid w:val="00C84998"/>
    <w:rsid w:val="00C85F6B"/>
    <w:rsid w:val="00C869D7"/>
    <w:rsid w:val="00C86D30"/>
    <w:rsid w:val="00C86DD6"/>
    <w:rsid w:val="00C92155"/>
    <w:rsid w:val="00C92B67"/>
    <w:rsid w:val="00C97782"/>
    <w:rsid w:val="00CA21BD"/>
    <w:rsid w:val="00CA221A"/>
    <w:rsid w:val="00CA2BB4"/>
    <w:rsid w:val="00CB20B7"/>
    <w:rsid w:val="00CB4589"/>
    <w:rsid w:val="00CB6113"/>
    <w:rsid w:val="00CB7703"/>
    <w:rsid w:val="00CC096A"/>
    <w:rsid w:val="00CC4450"/>
    <w:rsid w:val="00CD3F19"/>
    <w:rsid w:val="00CD4A5F"/>
    <w:rsid w:val="00CD637D"/>
    <w:rsid w:val="00CD6964"/>
    <w:rsid w:val="00CE0A33"/>
    <w:rsid w:val="00CE12AA"/>
    <w:rsid w:val="00CE19A1"/>
    <w:rsid w:val="00CF05E4"/>
    <w:rsid w:val="00CF06AA"/>
    <w:rsid w:val="00CF1DB7"/>
    <w:rsid w:val="00CF2CF3"/>
    <w:rsid w:val="00CF5E61"/>
    <w:rsid w:val="00CF682E"/>
    <w:rsid w:val="00CF6B42"/>
    <w:rsid w:val="00CF7440"/>
    <w:rsid w:val="00D00639"/>
    <w:rsid w:val="00D06A51"/>
    <w:rsid w:val="00D078E4"/>
    <w:rsid w:val="00D13473"/>
    <w:rsid w:val="00D14034"/>
    <w:rsid w:val="00D14B40"/>
    <w:rsid w:val="00D16A02"/>
    <w:rsid w:val="00D17F3B"/>
    <w:rsid w:val="00D2397D"/>
    <w:rsid w:val="00D27926"/>
    <w:rsid w:val="00D316C4"/>
    <w:rsid w:val="00D323E9"/>
    <w:rsid w:val="00D32AF5"/>
    <w:rsid w:val="00D35C08"/>
    <w:rsid w:val="00D35CE5"/>
    <w:rsid w:val="00D40DAC"/>
    <w:rsid w:val="00D4115D"/>
    <w:rsid w:val="00D46394"/>
    <w:rsid w:val="00D50C03"/>
    <w:rsid w:val="00D51B6A"/>
    <w:rsid w:val="00D52120"/>
    <w:rsid w:val="00D5215A"/>
    <w:rsid w:val="00D53CD4"/>
    <w:rsid w:val="00D54370"/>
    <w:rsid w:val="00D55D84"/>
    <w:rsid w:val="00D56DA0"/>
    <w:rsid w:val="00D641D7"/>
    <w:rsid w:val="00D6687B"/>
    <w:rsid w:val="00D7299E"/>
    <w:rsid w:val="00D732C6"/>
    <w:rsid w:val="00D752B5"/>
    <w:rsid w:val="00D76D36"/>
    <w:rsid w:val="00D80A3D"/>
    <w:rsid w:val="00D80EBB"/>
    <w:rsid w:val="00D850D8"/>
    <w:rsid w:val="00D85863"/>
    <w:rsid w:val="00D93735"/>
    <w:rsid w:val="00D9485F"/>
    <w:rsid w:val="00DB15F0"/>
    <w:rsid w:val="00DB17B3"/>
    <w:rsid w:val="00DB1A89"/>
    <w:rsid w:val="00DB2109"/>
    <w:rsid w:val="00DB2F02"/>
    <w:rsid w:val="00DB3789"/>
    <w:rsid w:val="00DB3FEF"/>
    <w:rsid w:val="00DB40DB"/>
    <w:rsid w:val="00DB4E6B"/>
    <w:rsid w:val="00DB5D10"/>
    <w:rsid w:val="00DB6D76"/>
    <w:rsid w:val="00DB6FFF"/>
    <w:rsid w:val="00DC1BB0"/>
    <w:rsid w:val="00DC24B0"/>
    <w:rsid w:val="00DC4246"/>
    <w:rsid w:val="00DC646D"/>
    <w:rsid w:val="00DE19B0"/>
    <w:rsid w:val="00DE2F98"/>
    <w:rsid w:val="00DE434D"/>
    <w:rsid w:val="00DE6433"/>
    <w:rsid w:val="00DE6439"/>
    <w:rsid w:val="00DE7E1F"/>
    <w:rsid w:val="00DF0439"/>
    <w:rsid w:val="00DF08AF"/>
    <w:rsid w:val="00DF334A"/>
    <w:rsid w:val="00DF4726"/>
    <w:rsid w:val="00DF5882"/>
    <w:rsid w:val="00DF79FD"/>
    <w:rsid w:val="00E04304"/>
    <w:rsid w:val="00E10C3B"/>
    <w:rsid w:val="00E11B7E"/>
    <w:rsid w:val="00E128F3"/>
    <w:rsid w:val="00E1297B"/>
    <w:rsid w:val="00E1730C"/>
    <w:rsid w:val="00E20057"/>
    <w:rsid w:val="00E22B7E"/>
    <w:rsid w:val="00E300C1"/>
    <w:rsid w:val="00E30AFC"/>
    <w:rsid w:val="00E31CED"/>
    <w:rsid w:val="00E31DB8"/>
    <w:rsid w:val="00E36828"/>
    <w:rsid w:val="00E37DE4"/>
    <w:rsid w:val="00E40F77"/>
    <w:rsid w:val="00E45C8F"/>
    <w:rsid w:val="00E50942"/>
    <w:rsid w:val="00E51747"/>
    <w:rsid w:val="00E52320"/>
    <w:rsid w:val="00E57002"/>
    <w:rsid w:val="00E5702E"/>
    <w:rsid w:val="00E572C9"/>
    <w:rsid w:val="00E57BF8"/>
    <w:rsid w:val="00E62A9C"/>
    <w:rsid w:val="00E66241"/>
    <w:rsid w:val="00E7244F"/>
    <w:rsid w:val="00E7300C"/>
    <w:rsid w:val="00E75C7B"/>
    <w:rsid w:val="00E77596"/>
    <w:rsid w:val="00E8200E"/>
    <w:rsid w:val="00E85A8C"/>
    <w:rsid w:val="00E85CA5"/>
    <w:rsid w:val="00E8734B"/>
    <w:rsid w:val="00E90006"/>
    <w:rsid w:val="00E96A3E"/>
    <w:rsid w:val="00EA17F4"/>
    <w:rsid w:val="00EA4D93"/>
    <w:rsid w:val="00EB01BE"/>
    <w:rsid w:val="00EB328B"/>
    <w:rsid w:val="00EB3F26"/>
    <w:rsid w:val="00EB6281"/>
    <w:rsid w:val="00EC159C"/>
    <w:rsid w:val="00EC2196"/>
    <w:rsid w:val="00EC305E"/>
    <w:rsid w:val="00EC34B9"/>
    <w:rsid w:val="00EC3B6B"/>
    <w:rsid w:val="00ED3312"/>
    <w:rsid w:val="00ED7317"/>
    <w:rsid w:val="00EE0E3A"/>
    <w:rsid w:val="00EE1D9D"/>
    <w:rsid w:val="00EE312D"/>
    <w:rsid w:val="00EE42F1"/>
    <w:rsid w:val="00EE56D0"/>
    <w:rsid w:val="00EF13BC"/>
    <w:rsid w:val="00EF5972"/>
    <w:rsid w:val="00F04CC3"/>
    <w:rsid w:val="00F07AFA"/>
    <w:rsid w:val="00F07FB8"/>
    <w:rsid w:val="00F1114F"/>
    <w:rsid w:val="00F11A72"/>
    <w:rsid w:val="00F149DF"/>
    <w:rsid w:val="00F15958"/>
    <w:rsid w:val="00F15F9B"/>
    <w:rsid w:val="00F16EFC"/>
    <w:rsid w:val="00F1743E"/>
    <w:rsid w:val="00F17EDC"/>
    <w:rsid w:val="00F24A10"/>
    <w:rsid w:val="00F25CCA"/>
    <w:rsid w:val="00F27E6E"/>
    <w:rsid w:val="00F311A7"/>
    <w:rsid w:val="00F3327F"/>
    <w:rsid w:val="00F40882"/>
    <w:rsid w:val="00F41B44"/>
    <w:rsid w:val="00F4766F"/>
    <w:rsid w:val="00F503B9"/>
    <w:rsid w:val="00F52678"/>
    <w:rsid w:val="00F551A1"/>
    <w:rsid w:val="00F57A60"/>
    <w:rsid w:val="00F6498D"/>
    <w:rsid w:val="00F70ED8"/>
    <w:rsid w:val="00F72298"/>
    <w:rsid w:val="00F726B6"/>
    <w:rsid w:val="00F73DEE"/>
    <w:rsid w:val="00F75508"/>
    <w:rsid w:val="00F76164"/>
    <w:rsid w:val="00F773FA"/>
    <w:rsid w:val="00F80833"/>
    <w:rsid w:val="00F8426D"/>
    <w:rsid w:val="00F85273"/>
    <w:rsid w:val="00F90480"/>
    <w:rsid w:val="00F92E80"/>
    <w:rsid w:val="00F94544"/>
    <w:rsid w:val="00F94D14"/>
    <w:rsid w:val="00F96089"/>
    <w:rsid w:val="00FA0C94"/>
    <w:rsid w:val="00FA2EA6"/>
    <w:rsid w:val="00FA41C6"/>
    <w:rsid w:val="00FA4625"/>
    <w:rsid w:val="00FA4A86"/>
    <w:rsid w:val="00FA503D"/>
    <w:rsid w:val="00FA624C"/>
    <w:rsid w:val="00FB1266"/>
    <w:rsid w:val="00FB2C54"/>
    <w:rsid w:val="00FB3232"/>
    <w:rsid w:val="00FB4ACE"/>
    <w:rsid w:val="00FB542A"/>
    <w:rsid w:val="00FC0A01"/>
    <w:rsid w:val="00FC1C43"/>
    <w:rsid w:val="00FC5560"/>
    <w:rsid w:val="00FD1B47"/>
    <w:rsid w:val="00FD3825"/>
    <w:rsid w:val="00FD423C"/>
    <w:rsid w:val="00FD6A30"/>
    <w:rsid w:val="00FE086D"/>
    <w:rsid w:val="00FE32BE"/>
    <w:rsid w:val="00FE36C1"/>
    <w:rsid w:val="00FE3CB3"/>
    <w:rsid w:val="00FE4221"/>
    <w:rsid w:val="00FE5929"/>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795E"/>
    <w:pPr>
      <w:spacing w:after="200" w:line="276" w:lineRule="auto"/>
    </w:pPr>
    <w:rPr>
      <w:sz w:val="22"/>
      <w:szCs w:val="22"/>
    </w:rPr>
  </w:style>
  <w:style w:type="paragraph" w:styleId="Heading1">
    <w:name w:val="heading 1"/>
    <w:basedOn w:val="Normal"/>
    <w:next w:val="Normal"/>
    <w:link w:val="Heading1Char"/>
    <w:qFormat/>
    <w:rsid w:val="00BE6AA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BE6AA2"/>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BE6AA2"/>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3F4544"/>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qFormat/>
    <w:rsid w:val="005B7F58"/>
    <w:pPr>
      <w:spacing w:before="240" w:beforeAutospacing="1" w:after="60" w:afterAutospacing="1" w:line="240" w:lineRule="auto"/>
      <w:ind w:firstLine="10"/>
      <w:outlineLvl w:val="4"/>
    </w:pPr>
    <w:rPr>
      <w:rFonts w:ascii="Arial" w:hAnsi="Arial"/>
      <w:b/>
      <w:bCs/>
      <w:iCs/>
      <w:noProof/>
      <w:color w:val="000000"/>
      <w:sz w:val="28"/>
      <w:szCs w:val="24"/>
    </w:rPr>
  </w:style>
  <w:style w:type="paragraph" w:styleId="Heading6">
    <w:name w:val="heading 6"/>
    <w:basedOn w:val="Normal"/>
    <w:next w:val="Normal"/>
    <w:link w:val="Heading6Char"/>
    <w:autoRedefine/>
    <w:qFormat/>
    <w:rsid w:val="005B7F58"/>
    <w:pPr>
      <w:keepNext/>
      <w:spacing w:before="240" w:after="120" w:line="240" w:lineRule="auto"/>
      <w:outlineLvl w:val="5"/>
    </w:pPr>
    <w:rPr>
      <w:rFonts w:ascii="Arial" w:hAnsi="Arial"/>
      <w:b/>
      <w:i/>
      <w:sz w:val="24"/>
      <w:szCs w:val="24"/>
    </w:rPr>
  </w:style>
  <w:style w:type="paragraph" w:styleId="Heading7">
    <w:name w:val="heading 7"/>
    <w:basedOn w:val="Normal"/>
    <w:next w:val="Normal"/>
    <w:link w:val="Heading7Char"/>
    <w:autoRedefine/>
    <w:qFormat/>
    <w:rsid w:val="005B7F58"/>
    <w:pPr>
      <w:keepNext/>
      <w:spacing w:before="240" w:after="240" w:line="240" w:lineRule="auto"/>
      <w:jc w:val="center"/>
      <w:outlineLvl w:val="6"/>
    </w:pPr>
    <w:rPr>
      <w:rFonts w:ascii="Times New Roman" w:hAnsi="Times New Roman"/>
      <w:b/>
      <w:sz w:val="28"/>
      <w:szCs w:val="24"/>
    </w:rPr>
  </w:style>
  <w:style w:type="paragraph" w:styleId="Heading8">
    <w:name w:val="heading 8"/>
    <w:basedOn w:val="Normal"/>
    <w:next w:val="Normal"/>
    <w:link w:val="Heading8Char"/>
    <w:qFormat/>
    <w:rsid w:val="00A56BC7"/>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qFormat/>
    <w:rsid w:val="005B7F58"/>
    <w:pPr>
      <w:tabs>
        <w:tab w:val="num" w:pos="1584"/>
      </w:tabs>
      <w:spacing w:before="240" w:after="60" w:line="240" w:lineRule="auto"/>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991"/>
    <w:pPr>
      <w:ind w:left="720"/>
      <w:contextualSpacing/>
    </w:pPr>
  </w:style>
  <w:style w:type="character" w:customStyle="1" w:styleId="Heading1Char">
    <w:name w:val="Heading 1 Char"/>
    <w:link w:val="Heading1"/>
    <w:uiPriority w:val="9"/>
    <w:rsid w:val="00BE6AA2"/>
    <w:rPr>
      <w:rFonts w:ascii="Cambria" w:eastAsia="Times New Roman" w:hAnsi="Cambria" w:cs="Times New Roman"/>
      <w:b/>
      <w:bCs/>
      <w:color w:val="365F91"/>
      <w:sz w:val="28"/>
      <w:szCs w:val="28"/>
    </w:rPr>
  </w:style>
  <w:style w:type="character" w:customStyle="1" w:styleId="Heading2Char">
    <w:name w:val="Heading 2 Char"/>
    <w:link w:val="Heading2"/>
    <w:rsid w:val="00BE6AA2"/>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E6AA2"/>
    <w:rPr>
      <w:rFonts w:ascii="Cambria" w:eastAsia="Times New Roman" w:hAnsi="Cambria" w:cs="Times New Roman"/>
      <w:b/>
      <w:bCs/>
      <w:color w:val="4F81BD"/>
    </w:rPr>
  </w:style>
  <w:style w:type="paragraph" w:styleId="Caption">
    <w:name w:val="caption"/>
    <w:basedOn w:val="Normal"/>
    <w:next w:val="Normal"/>
    <w:qFormat/>
    <w:rsid w:val="005134B4"/>
    <w:pPr>
      <w:spacing w:line="240" w:lineRule="auto"/>
    </w:pPr>
    <w:rPr>
      <w:rFonts w:eastAsia="Calibri"/>
      <w:b/>
      <w:bCs/>
      <w:color w:val="4F81BD"/>
      <w:sz w:val="18"/>
      <w:szCs w:val="18"/>
    </w:rPr>
  </w:style>
  <w:style w:type="paragraph" w:styleId="BalloonText">
    <w:name w:val="Balloon Text"/>
    <w:basedOn w:val="Normal"/>
    <w:link w:val="BalloonTextChar"/>
    <w:semiHidden/>
    <w:unhideWhenUsed/>
    <w:rsid w:val="005134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34B4"/>
    <w:rPr>
      <w:rFonts w:ascii="Tahoma" w:hAnsi="Tahoma" w:cs="Tahoma"/>
      <w:sz w:val="16"/>
      <w:szCs w:val="16"/>
    </w:rPr>
  </w:style>
  <w:style w:type="character" w:styleId="CommentReference">
    <w:name w:val="annotation reference"/>
    <w:uiPriority w:val="99"/>
    <w:semiHidden/>
    <w:unhideWhenUsed/>
    <w:rsid w:val="00C53F3E"/>
    <w:rPr>
      <w:sz w:val="16"/>
      <w:szCs w:val="16"/>
    </w:rPr>
  </w:style>
  <w:style w:type="paragraph" w:styleId="CommentText">
    <w:name w:val="annotation text"/>
    <w:basedOn w:val="Normal"/>
    <w:link w:val="CommentTextChar"/>
    <w:unhideWhenUsed/>
    <w:rsid w:val="00C53F3E"/>
    <w:pPr>
      <w:spacing w:line="240" w:lineRule="auto"/>
    </w:pPr>
    <w:rPr>
      <w:rFonts w:eastAsia="Calibri"/>
      <w:sz w:val="20"/>
      <w:szCs w:val="20"/>
    </w:rPr>
  </w:style>
  <w:style w:type="character" w:customStyle="1" w:styleId="CommentTextChar">
    <w:name w:val="Comment Text Char"/>
    <w:link w:val="CommentText"/>
    <w:rsid w:val="00C53F3E"/>
    <w:rPr>
      <w:rFonts w:ascii="Calibri" w:eastAsia="Calibri" w:hAnsi="Calibri" w:cs="Times New Roman"/>
      <w:sz w:val="20"/>
      <w:szCs w:val="20"/>
    </w:rPr>
  </w:style>
  <w:style w:type="paragraph" w:styleId="FootnoteText">
    <w:name w:val="footnote text"/>
    <w:basedOn w:val="Normal"/>
    <w:link w:val="FootnoteTextChar"/>
    <w:uiPriority w:val="99"/>
    <w:semiHidden/>
    <w:rsid w:val="00C53F3E"/>
    <w:pPr>
      <w:widowControl w:val="0"/>
      <w:spacing w:after="0" w:line="240" w:lineRule="auto"/>
    </w:pPr>
    <w:rPr>
      <w:sz w:val="16"/>
      <w:szCs w:val="20"/>
    </w:rPr>
  </w:style>
  <w:style w:type="character" w:customStyle="1" w:styleId="FootnoteTextChar">
    <w:name w:val="Footnote Text Char"/>
    <w:link w:val="FootnoteText"/>
    <w:uiPriority w:val="99"/>
    <w:semiHidden/>
    <w:rsid w:val="00C53F3E"/>
    <w:rPr>
      <w:rFonts w:eastAsia="Times New Roman" w:cs="Times New Roman"/>
      <w:sz w:val="16"/>
      <w:szCs w:val="20"/>
    </w:rPr>
  </w:style>
  <w:style w:type="character" w:styleId="FootnoteReference">
    <w:name w:val="footnote reference"/>
    <w:uiPriority w:val="99"/>
    <w:semiHidden/>
    <w:rsid w:val="00C53F3E"/>
    <w:rPr>
      <w:vertAlign w:val="superscript"/>
    </w:rPr>
  </w:style>
  <w:style w:type="paragraph" w:styleId="Subtitle">
    <w:name w:val="Subtitle"/>
    <w:basedOn w:val="Normal"/>
    <w:next w:val="Normal"/>
    <w:link w:val="SubtitleChar"/>
    <w:uiPriority w:val="11"/>
    <w:qFormat/>
    <w:rsid w:val="000B70D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B70D3"/>
    <w:rPr>
      <w:rFonts w:ascii="Cambria" w:eastAsia="Times New Roman" w:hAnsi="Cambria" w:cs="Times New Roman"/>
      <w:i/>
      <w:iCs/>
      <w:color w:val="4F81BD"/>
      <w:spacing w:val="15"/>
      <w:sz w:val="24"/>
      <w:szCs w:val="24"/>
    </w:rPr>
  </w:style>
  <w:style w:type="character" w:customStyle="1" w:styleId="Heading4Char">
    <w:name w:val="Heading 4 Char"/>
    <w:link w:val="Heading4"/>
    <w:uiPriority w:val="9"/>
    <w:rsid w:val="003F4544"/>
    <w:rPr>
      <w:rFonts w:ascii="Cambria" w:eastAsia="Times New Roman" w:hAnsi="Cambria" w:cs="Times New Roman"/>
      <w:b/>
      <w:bCs/>
      <w:i/>
      <w:iCs/>
      <w:color w:val="4F81BD"/>
    </w:rPr>
  </w:style>
  <w:style w:type="paragraph" w:styleId="Title">
    <w:name w:val="Title"/>
    <w:basedOn w:val="Normal"/>
    <w:next w:val="Normal"/>
    <w:link w:val="TitleChar"/>
    <w:qFormat/>
    <w:rsid w:val="001C64B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C64B8"/>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B8"/>
  </w:style>
  <w:style w:type="paragraph" w:styleId="Footer">
    <w:name w:val="footer"/>
    <w:basedOn w:val="Normal"/>
    <w:link w:val="FooterChar"/>
    <w:uiPriority w:val="99"/>
    <w:unhideWhenUsed/>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B8"/>
  </w:style>
  <w:style w:type="paragraph" w:styleId="TOC1">
    <w:name w:val="toc 1"/>
    <w:basedOn w:val="Normal"/>
    <w:next w:val="Normal"/>
    <w:autoRedefine/>
    <w:uiPriority w:val="39"/>
    <w:unhideWhenUsed/>
    <w:rsid w:val="002E63B4"/>
    <w:pPr>
      <w:tabs>
        <w:tab w:val="right" w:leader="dot" w:pos="9350"/>
      </w:tabs>
      <w:spacing w:after="240"/>
    </w:pPr>
    <w:rPr>
      <w:b/>
      <w:noProof/>
    </w:rPr>
  </w:style>
  <w:style w:type="paragraph" w:styleId="TOC2">
    <w:name w:val="toc 2"/>
    <w:basedOn w:val="Normal"/>
    <w:next w:val="Normal"/>
    <w:autoRedefine/>
    <w:uiPriority w:val="39"/>
    <w:unhideWhenUsed/>
    <w:rsid w:val="001C64B8"/>
    <w:pPr>
      <w:spacing w:after="100"/>
      <w:ind w:left="220"/>
    </w:pPr>
  </w:style>
  <w:style w:type="paragraph" w:styleId="TOC3">
    <w:name w:val="toc 3"/>
    <w:basedOn w:val="Normal"/>
    <w:next w:val="Normal"/>
    <w:autoRedefine/>
    <w:uiPriority w:val="39"/>
    <w:unhideWhenUsed/>
    <w:rsid w:val="001C64B8"/>
    <w:pPr>
      <w:spacing w:after="100"/>
      <w:ind w:left="440"/>
    </w:pPr>
  </w:style>
  <w:style w:type="character" w:styleId="Hyperlink">
    <w:name w:val="Hyperlink"/>
    <w:uiPriority w:val="99"/>
    <w:unhideWhenUsed/>
    <w:rsid w:val="001C64B8"/>
    <w:rPr>
      <w:color w:val="0000FF"/>
      <w:u w:val="single"/>
    </w:rPr>
  </w:style>
  <w:style w:type="character" w:customStyle="1" w:styleId="Heading8Char">
    <w:name w:val="Heading 8 Char"/>
    <w:link w:val="Heading8"/>
    <w:uiPriority w:val="9"/>
    <w:semiHidden/>
    <w:rsid w:val="00A56BC7"/>
    <w:rPr>
      <w:rFonts w:ascii="Cambria" w:eastAsia="Times New Roman" w:hAnsi="Cambria" w:cs="Times New Roman"/>
      <w:color w:val="404040"/>
      <w:sz w:val="20"/>
      <w:szCs w:val="20"/>
    </w:rPr>
  </w:style>
  <w:style w:type="paragraph" w:styleId="NormalWeb">
    <w:name w:val="Normal (Web)"/>
    <w:basedOn w:val="Normal"/>
    <w:unhideWhenUsed/>
    <w:rsid w:val="002E3F52"/>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qFormat/>
    <w:rsid w:val="0056081A"/>
    <w:pPr>
      <w:outlineLvl w:val="9"/>
    </w:pPr>
    <w:rPr>
      <w:lang w:eastAsia="ja-JP"/>
    </w:rPr>
  </w:style>
  <w:style w:type="paragraph" w:styleId="CommentSubject">
    <w:name w:val="annotation subject"/>
    <w:basedOn w:val="CommentText"/>
    <w:next w:val="CommentText"/>
    <w:link w:val="CommentSubjectChar"/>
    <w:uiPriority w:val="99"/>
    <w:semiHidden/>
    <w:unhideWhenUsed/>
    <w:rsid w:val="00424ADD"/>
    <w:rPr>
      <w:rFonts w:eastAsia="Times New Roman"/>
      <w:b/>
      <w:bCs/>
    </w:rPr>
  </w:style>
  <w:style w:type="character" w:customStyle="1" w:styleId="CommentSubjectChar">
    <w:name w:val="Comment Subject Char"/>
    <w:link w:val="CommentSubject"/>
    <w:uiPriority w:val="99"/>
    <w:semiHidden/>
    <w:rsid w:val="00424ADD"/>
    <w:rPr>
      <w:rFonts w:ascii="Calibri" w:eastAsia="Calibri" w:hAnsi="Calibri" w:cs="Times New Roman"/>
      <w:b/>
      <w:bCs/>
      <w:sz w:val="20"/>
      <w:szCs w:val="20"/>
    </w:rPr>
  </w:style>
  <w:style w:type="paragraph" w:styleId="Revision">
    <w:name w:val="Revision"/>
    <w:hidden/>
    <w:uiPriority w:val="99"/>
    <w:semiHidden/>
    <w:rsid w:val="00A772A8"/>
    <w:rPr>
      <w:sz w:val="22"/>
      <w:szCs w:val="22"/>
    </w:rPr>
  </w:style>
  <w:style w:type="character" w:styleId="FollowedHyperlink">
    <w:name w:val="FollowedHyperlink"/>
    <w:semiHidden/>
    <w:unhideWhenUsed/>
    <w:rsid w:val="00B73F48"/>
    <w:rPr>
      <w:color w:val="800080"/>
      <w:u w:val="single"/>
    </w:rPr>
  </w:style>
  <w:style w:type="character" w:styleId="LineNumber">
    <w:name w:val="line number"/>
    <w:basedOn w:val="DefaultParagraphFont"/>
    <w:uiPriority w:val="99"/>
    <w:semiHidden/>
    <w:unhideWhenUsed/>
    <w:rsid w:val="000E56BB"/>
  </w:style>
  <w:style w:type="character" w:customStyle="1" w:styleId="Heading5Char">
    <w:name w:val="Heading 5 Char"/>
    <w:link w:val="Heading5"/>
    <w:rsid w:val="005B7F58"/>
    <w:rPr>
      <w:rFonts w:ascii="Arial" w:eastAsia="Times New Roman" w:hAnsi="Arial" w:cs="Times New Roman"/>
      <w:b/>
      <w:bCs/>
      <w:iCs/>
      <w:noProof/>
      <w:color w:val="000000"/>
      <w:sz w:val="28"/>
      <w:szCs w:val="24"/>
    </w:rPr>
  </w:style>
  <w:style w:type="character" w:customStyle="1" w:styleId="Heading6Char">
    <w:name w:val="Heading 6 Char"/>
    <w:link w:val="Heading6"/>
    <w:rsid w:val="005B7F58"/>
    <w:rPr>
      <w:rFonts w:ascii="Arial" w:eastAsia="Times New Roman" w:hAnsi="Arial" w:cs="Times New Roman"/>
      <w:b/>
      <w:i/>
      <w:sz w:val="24"/>
      <w:szCs w:val="24"/>
    </w:rPr>
  </w:style>
  <w:style w:type="character" w:customStyle="1" w:styleId="Heading7Char">
    <w:name w:val="Heading 7 Char"/>
    <w:link w:val="Heading7"/>
    <w:rsid w:val="005B7F58"/>
    <w:rPr>
      <w:rFonts w:ascii="Times New Roman" w:eastAsia="Times New Roman" w:hAnsi="Times New Roman" w:cs="Times New Roman"/>
      <w:b/>
      <w:sz w:val="28"/>
      <w:szCs w:val="24"/>
    </w:rPr>
  </w:style>
  <w:style w:type="character" w:customStyle="1" w:styleId="Heading9Char">
    <w:name w:val="Heading 9 Char"/>
    <w:link w:val="Heading9"/>
    <w:rsid w:val="005B7F58"/>
    <w:rPr>
      <w:rFonts w:ascii="Arial" w:eastAsia="Times New Roman" w:hAnsi="Arial" w:cs="Arial"/>
    </w:rPr>
  </w:style>
  <w:style w:type="paragraph" w:styleId="ListBullet">
    <w:name w:val="List Bullet"/>
    <w:basedOn w:val="Normal"/>
    <w:autoRedefine/>
    <w:semiHidden/>
    <w:rsid w:val="005B7F58"/>
    <w:pPr>
      <w:numPr>
        <w:numId w:val="7"/>
      </w:numPr>
      <w:spacing w:after="0" w:line="240" w:lineRule="auto"/>
    </w:pPr>
    <w:rPr>
      <w:rFonts w:ascii="Times New Roman" w:hAnsi="Times New Roman"/>
      <w:sz w:val="24"/>
      <w:szCs w:val="24"/>
    </w:rPr>
  </w:style>
  <w:style w:type="paragraph" w:styleId="List">
    <w:name w:val="List"/>
    <w:basedOn w:val="Normal"/>
    <w:semiHidden/>
    <w:rsid w:val="005B7F58"/>
    <w:pPr>
      <w:numPr>
        <w:numId w:val="8"/>
      </w:numPr>
      <w:spacing w:after="40" w:line="240" w:lineRule="auto"/>
      <w:ind w:left="3600" w:right="432"/>
    </w:pPr>
    <w:rPr>
      <w:rFonts w:ascii="Times New Roman" w:hAnsi="Times New Roman"/>
      <w:sz w:val="24"/>
      <w:szCs w:val="20"/>
    </w:rPr>
  </w:style>
  <w:style w:type="paragraph" w:customStyle="1" w:styleId="Bulleted">
    <w:name w:val="Bulleted"/>
    <w:basedOn w:val="BodyText"/>
    <w:rsid w:val="005B7F58"/>
    <w:pPr>
      <w:numPr>
        <w:numId w:val="9"/>
      </w:numPr>
      <w:overflowPunct/>
      <w:autoSpaceDE/>
      <w:autoSpaceDN/>
      <w:adjustRightInd/>
      <w:spacing w:after="80"/>
      <w:textAlignment w:val="auto"/>
    </w:pPr>
    <w:rPr>
      <w:b/>
      <w:i/>
      <w:color w:val="auto"/>
      <w:szCs w:val="24"/>
    </w:rPr>
  </w:style>
  <w:style w:type="paragraph" w:styleId="BodyText">
    <w:name w:val="Body Text"/>
    <w:basedOn w:val="Normal"/>
    <w:link w:val="BodyTextChar"/>
    <w:semiHidden/>
    <w:rsid w:val="005B7F58"/>
    <w:pPr>
      <w:overflowPunct w:val="0"/>
      <w:autoSpaceDE w:val="0"/>
      <w:autoSpaceDN w:val="0"/>
      <w:adjustRightInd w:val="0"/>
      <w:spacing w:after="120" w:line="240" w:lineRule="auto"/>
      <w:textAlignment w:val="baseline"/>
    </w:pPr>
    <w:rPr>
      <w:rFonts w:ascii="Times New Roman" w:hAnsi="Times New Roman"/>
      <w:color w:val="000000"/>
      <w:sz w:val="24"/>
      <w:szCs w:val="20"/>
    </w:rPr>
  </w:style>
  <w:style w:type="character" w:customStyle="1" w:styleId="BodyTextChar">
    <w:name w:val="Body Text Char"/>
    <w:link w:val="BodyText"/>
    <w:semiHidden/>
    <w:rsid w:val="005B7F58"/>
    <w:rPr>
      <w:rFonts w:ascii="Times New Roman" w:eastAsia="Times New Roman" w:hAnsi="Times New Roman" w:cs="Times New Roman"/>
      <w:color w:val="000000"/>
      <w:sz w:val="24"/>
      <w:szCs w:val="20"/>
    </w:rPr>
  </w:style>
  <w:style w:type="paragraph" w:styleId="PlainText">
    <w:name w:val="Plain Text"/>
    <w:basedOn w:val="Normal"/>
    <w:link w:val="PlainTextChar"/>
    <w:semiHidden/>
    <w:rsid w:val="005B7F58"/>
    <w:pPr>
      <w:spacing w:after="0" w:line="240" w:lineRule="auto"/>
    </w:pPr>
    <w:rPr>
      <w:rFonts w:ascii="Courier New" w:hAnsi="Courier New"/>
      <w:sz w:val="20"/>
      <w:szCs w:val="20"/>
    </w:rPr>
  </w:style>
  <w:style w:type="character" w:customStyle="1" w:styleId="PlainTextChar">
    <w:name w:val="Plain Text Char"/>
    <w:link w:val="PlainText"/>
    <w:semiHidden/>
    <w:rsid w:val="005B7F58"/>
    <w:rPr>
      <w:rFonts w:ascii="Courier New" w:eastAsia="Times New Roman" w:hAnsi="Courier New" w:cs="Times New Roman"/>
      <w:sz w:val="20"/>
      <w:szCs w:val="20"/>
    </w:rPr>
  </w:style>
  <w:style w:type="paragraph" w:customStyle="1" w:styleId="body1">
    <w:name w:val="body1"/>
    <w:basedOn w:val="Normal"/>
    <w:rsid w:val="005B7F58"/>
    <w:pPr>
      <w:spacing w:after="240" w:line="240" w:lineRule="auto"/>
      <w:ind w:left="720"/>
    </w:pPr>
    <w:rPr>
      <w:rFonts w:ascii="Times New Roman" w:hAnsi="Times New Roman"/>
      <w:sz w:val="24"/>
      <w:szCs w:val="24"/>
    </w:rPr>
  </w:style>
  <w:style w:type="paragraph" w:customStyle="1" w:styleId="workelemhead">
    <w:name w:val="work elem head"/>
    <w:basedOn w:val="Normal"/>
    <w:rsid w:val="005B7F58"/>
    <w:pPr>
      <w:keepNext/>
      <w:keepLines/>
      <w:tabs>
        <w:tab w:val="left" w:pos="504"/>
        <w:tab w:val="left" w:pos="1440"/>
        <w:tab w:val="right" w:pos="9360"/>
      </w:tabs>
      <w:spacing w:before="240" w:after="240" w:line="240" w:lineRule="auto"/>
    </w:pPr>
    <w:rPr>
      <w:rFonts w:ascii="Times New Roman" w:hAnsi="Times New Roman"/>
      <w:szCs w:val="24"/>
    </w:rPr>
  </w:style>
  <w:style w:type="character" w:styleId="PageNumber">
    <w:name w:val="page number"/>
    <w:basedOn w:val="DefaultParagraphFont"/>
    <w:semiHidden/>
    <w:rsid w:val="005B7F58"/>
  </w:style>
  <w:style w:type="paragraph" w:styleId="DocumentMap">
    <w:name w:val="Document Map"/>
    <w:basedOn w:val="Normal"/>
    <w:link w:val="DocumentMapChar"/>
    <w:semiHidden/>
    <w:rsid w:val="005B7F58"/>
    <w:pPr>
      <w:shd w:val="clear" w:color="auto" w:fill="000080"/>
      <w:spacing w:after="0" w:line="240" w:lineRule="auto"/>
    </w:pPr>
    <w:rPr>
      <w:rFonts w:ascii="Tahoma" w:hAnsi="Tahoma" w:cs="Tahoma"/>
      <w:sz w:val="24"/>
      <w:szCs w:val="24"/>
    </w:rPr>
  </w:style>
  <w:style w:type="character" w:customStyle="1" w:styleId="DocumentMapChar">
    <w:name w:val="Document Map Char"/>
    <w:link w:val="DocumentMap"/>
    <w:semiHidden/>
    <w:rsid w:val="005B7F58"/>
    <w:rPr>
      <w:rFonts w:ascii="Tahoma" w:eastAsia="Times New Roman" w:hAnsi="Tahoma" w:cs="Tahoma"/>
      <w:sz w:val="24"/>
      <w:szCs w:val="24"/>
      <w:shd w:val="clear" w:color="auto" w:fill="000080"/>
    </w:rPr>
  </w:style>
  <w:style w:type="paragraph" w:styleId="BodyText2">
    <w:name w:val="Body Text 2"/>
    <w:basedOn w:val="Normal"/>
    <w:link w:val="BodyText2Char"/>
    <w:semiHidden/>
    <w:rsid w:val="005B7F58"/>
    <w:pPr>
      <w:spacing w:after="0" w:line="240" w:lineRule="auto"/>
      <w:jc w:val="center"/>
    </w:pPr>
    <w:rPr>
      <w:rFonts w:ascii="Arial" w:hAnsi="Arial" w:cs="Arial"/>
      <w:b/>
      <w:bCs/>
      <w:sz w:val="28"/>
      <w:szCs w:val="24"/>
    </w:rPr>
  </w:style>
  <w:style w:type="character" w:customStyle="1" w:styleId="BodyText2Char">
    <w:name w:val="Body Text 2 Char"/>
    <w:link w:val="BodyText2"/>
    <w:semiHidden/>
    <w:rsid w:val="005B7F58"/>
    <w:rPr>
      <w:rFonts w:ascii="Arial" w:eastAsia="Times New Roman" w:hAnsi="Arial" w:cs="Arial"/>
      <w:b/>
      <w:bCs/>
      <w:sz w:val="28"/>
      <w:szCs w:val="24"/>
    </w:rPr>
  </w:style>
  <w:style w:type="paragraph" w:styleId="TOC4">
    <w:name w:val="toc 4"/>
    <w:basedOn w:val="Normal"/>
    <w:next w:val="Normal"/>
    <w:autoRedefine/>
    <w:semiHidden/>
    <w:rsid w:val="005B7F58"/>
    <w:pPr>
      <w:spacing w:beforeAutospacing="1" w:after="0" w:afterAutospacing="1" w:line="240" w:lineRule="auto"/>
      <w:ind w:left="480" w:firstLine="10"/>
    </w:pPr>
    <w:rPr>
      <w:rFonts w:ascii="Times New Roman" w:hAnsi="Times New Roman"/>
      <w:noProof/>
      <w:color w:val="000000"/>
      <w:sz w:val="20"/>
      <w:szCs w:val="20"/>
    </w:rPr>
  </w:style>
  <w:style w:type="paragraph" w:styleId="TOC5">
    <w:name w:val="toc 5"/>
    <w:basedOn w:val="Normal"/>
    <w:next w:val="Normal"/>
    <w:autoRedefine/>
    <w:semiHidden/>
    <w:rsid w:val="005B7F58"/>
    <w:pPr>
      <w:spacing w:beforeAutospacing="1" w:after="0" w:afterAutospacing="1" w:line="240" w:lineRule="auto"/>
      <w:ind w:left="720" w:firstLine="10"/>
    </w:pPr>
    <w:rPr>
      <w:rFonts w:ascii="Times New Roman" w:hAnsi="Times New Roman"/>
      <w:noProof/>
      <w:color w:val="000000"/>
      <w:sz w:val="20"/>
      <w:szCs w:val="20"/>
    </w:rPr>
  </w:style>
  <w:style w:type="paragraph" w:styleId="TOC6">
    <w:name w:val="toc 6"/>
    <w:basedOn w:val="Normal"/>
    <w:next w:val="Normal"/>
    <w:autoRedefine/>
    <w:semiHidden/>
    <w:rsid w:val="005B7F58"/>
    <w:pPr>
      <w:spacing w:beforeAutospacing="1" w:after="0" w:afterAutospacing="1" w:line="240" w:lineRule="auto"/>
      <w:ind w:left="960" w:firstLine="10"/>
    </w:pPr>
    <w:rPr>
      <w:rFonts w:ascii="Times New Roman" w:hAnsi="Times New Roman"/>
      <w:noProof/>
      <w:color w:val="000000"/>
      <w:sz w:val="20"/>
      <w:szCs w:val="20"/>
    </w:rPr>
  </w:style>
  <w:style w:type="paragraph" w:styleId="TOC7">
    <w:name w:val="toc 7"/>
    <w:basedOn w:val="Normal"/>
    <w:next w:val="Normal"/>
    <w:autoRedefine/>
    <w:semiHidden/>
    <w:rsid w:val="005B7F58"/>
    <w:pPr>
      <w:spacing w:beforeAutospacing="1" w:after="0" w:afterAutospacing="1" w:line="240" w:lineRule="auto"/>
      <w:ind w:left="1200" w:firstLine="10"/>
    </w:pPr>
    <w:rPr>
      <w:rFonts w:ascii="Times New Roman" w:hAnsi="Times New Roman"/>
      <w:noProof/>
      <w:color w:val="000000"/>
      <w:sz w:val="20"/>
      <w:szCs w:val="20"/>
    </w:rPr>
  </w:style>
  <w:style w:type="paragraph" w:styleId="NormalIndent">
    <w:name w:val="Normal Indent"/>
    <w:basedOn w:val="Normal"/>
    <w:semiHidden/>
    <w:rsid w:val="005B7F58"/>
    <w:pPr>
      <w:spacing w:before="100" w:beforeAutospacing="1" w:after="100" w:afterAutospacing="1" w:line="240" w:lineRule="auto"/>
      <w:ind w:left="720" w:firstLine="10"/>
    </w:pPr>
    <w:rPr>
      <w:rFonts w:ascii="Times New Roman" w:hAnsi="Times New Roman"/>
      <w:noProof/>
      <w:color w:val="000000"/>
      <w:sz w:val="24"/>
      <w:szCs w:val="24"/>
    </w:rPr>
  </w:style>
  <w:style w:type="paragraph" w:styleId="BodyTextIndent">
    <w:name w:val="Body Text Indent"/>
    <w:basedOn w:val="Normal"/>
    <w:link w:val="BodyTextIndentChar"/>
    <w:semiHidden/>
    <w:rsid w:val="005B7F58"/>
    <w:pPr>
      <w:spacing w:before="100" w:beforeAutospacing="1" w:after="100" w:afterAutospacing="1" w:line="240" w:lineRule="auto"/>
      <w:ind w:firstLine="10"/>
    </w:pPr>
    <w:rPr>
      <w:rFonts w:ascii="Times New Roman" w:hAnsi="Times New Roman"/>
      <w:noProof/>
      <w:color w:val="000000"/>
      <w:sz w:val="24"/>
      <w:szCs w:val="24"/>
    </w:rPr>
  </w:style>
  <w:style w:type="character" w:customStyle="1" w:styleId="BodyTextIndentChar">
    <w:name w:val="Body Text Indent Char"/>
    <w:link w:val="BodyTextIndent"/>
    <w:semiHidden/>
    <w:rsid w:val="005B7F58"/>
    <w:rPr>
      <w:rFonts w:ascii="Times New Roman" w:eastAsia="Times New Roman" w:hAnsi="Times New Roman" w:cs="Times New Roman"/>
      <w:noProof/>
      <w:color w:val="000000"/>
      <w:sz w:val="24"/>
      <w:szCs w:val="24"/>
    </w:rPr>
  </w:style>
  <w:style w:type="paragraph" w:styleId="BlockText">
    <w:name w:val="Block Text"/>
    <w:basedOn w:val="Normal"/>
    <w:semiHidden/>
    <w:rsid w:val="005B7F58"/>
    <w:pPr>
      <w:spacing w:after="0" w:line="240" w:lineRule="auto"/>
      <w:ind w:left="1526" w:right="2160"/>
    </w:pPr>
    <w:rPr>
      <w:rFonts w:ascii="Times New Roman" w:hAnsi="Times New Roman"/>
      <w:i/>
      <w:iCs/>
      <w:sz w:val="24"/>
      <w:szCs w:val="24"/>
    </w:rPr>
  </w:style>
  <w:style w:type="paragraph" w:styleId="EndnoteText">
    <w:name w:val="endnote text"/>
    <w:basedOn w:val="Normal"/>
    <w:link w:val="EndnoteTextChar"/>
    <w:semiHidden/>
    <w:rsid w:val="005B7F58"/>
    <w:pPr>
      <w:spacing w:after="0" w:line="240" w:lineRule="auto"/>
    </w:pPr>
    <w:rPr>
      <w:rFonts w:ascii="Times New Roman" w:hAnsi="Times New Roman"/>
      <w:sz w:val="20"/>
      <w:szCs w:val="20"/>
    </w:rPr>
  </w:style>
  <w:style w:type="character" w:customStyle="1" w:styleId="EndnoteTextChar">
    <w:name w:val="Endnote Text Char"/>
    <w:link w:val="EndnoteText"/>
    <w:semiHidden/>
    <w:rsid w:val="005B7F58"/>
    <w:rPr>
      <w:rFonts w:ascii="Times New Roman" w:eastAsia="Times New Roman" w:hAnsi="Times New Roman" w:cs="Times New Roman"/>
      <w:sz w:val="20"/>
      <w:szCs w:val="20"/>
    </w:rPr>
  </w:style>
  <w:style w:type="character" w:styleId="EndnoteReference">
    <w:name w:val="endnote reference"/>
    <w:semiHidden/>
    <w:rsid w:val="005B7F58"/>
    <w:rPr>
      <w:vertAlign w:val="superscript"/>
    </w:rPr>
  </w:style>
  <w:style w:type="paragraph" w:styleId="BodyText3">
    <w:name w:val="Body Text 3"/>
    <w:basedOn w:val="Normal"/>
    <w:link w:val="BodyText3Char"/>
    <w:semiHidden/>
    <w:rsid w:val="005B7F58"/>
    <w:pPr>
      <w:spacing w:after="0" w:line="240" w:lineRule="auto"/>
    </w:pPr>
    <w:rPr>
      <w:rFonts w:ascii="Times New Roman" w:hAnsi="Times New Roman"/>
      <w:sz w:val="20"/>
      <w:szCs w:val="24"/>
    </w:rPr>
  </w:style>
  <w:style w:type="character" w:customStyle="1" w:styleId="BodyText3Char">
    <w:name w:val="Body Text 3 Char"/>
    <w:link w:val="BodyText3"/>
    <w:semiHidden/>
    <w:rsid w:val="005B7F58"/>
    <w:rPr>
      <w:rFonts w:ascii="Times New Roman" w:eastAsia="Times New Roman" w:hAnsi="Times New Roman" w:cs="Times New Roman"/>
      <w:sz w:val="20"/>
      <w:szCs w:val="24"/>
    </w:rPr>
  </w:style>
  <w:style w:type="paragraph" w:customStyle="1" w:styleId="Heading1a">
    <w:name w:val="Heading 1a"/>
    <w:basedOn w:val="Heading1"/>
    <w:rsid w:val="005B7F58"/>
    <w:pPr>
      <w:keepLines w:val="0"/>
      <w:spacing w:before="0" w:after="60" w:line="240" w:lineRule="auto"/>
    </w:pPr>
    <w:rPr>
      <w:rFonts w:ascii="Times New Roman" w:hAnsi="Times New Roman"/>
      <w:bCs w:val="0"/>
      <w:iCs/>
      <w:color w:val="auto"/>
      <w:szCs w:val="24"/>
    </w:rPr>
  </w:style>
  <w:style w:type="paragraph" w:customStyle="1" w:styleId="Heading2a">
    <w:name w:val="Heading 2a"/>
    <w:basedOn w:val="Heading2"/>
    <w:rsid w:val="005B7F58"/>
    <w:pPr>
      <w:keepLines w:val="0"/>
      <w:spacing w:before="120" w:after="120" w:line="240" w:lineRule="auto"/>
    </w:pPr>
    <w:rPr>
      <w:rFonts w:ascii="Arial" w:hAnsi="Arial" w:cs="Arial"/>
      <w:iCs/>
      <w:color w:val="auto"/>
      <w:sz w:val="24"/>
      <w:szCs w:val="28"/>
    </w:rPr>
  </w:style>
  <w:style w:type="paragraph" w:styleId="TOC8">
    <w:name w:val="toc 8"/>
    <w:basedOn w:val="Normal"/>
    <w:next w:val="Normal"/>
    <w:autoRedefine/>
    <w:semiHidden/>
    <w:rsid w:val="005B7F58"/>
    <w:pPr>
      <w:spacing w:after="0" w:line="240" w:lineRule="auto"/>
      <w:ind w:left="1680"/>
    </w:pPr>
    <w:rPr>
      <w:rFonts w:ascii="Times New Roman" w:hAnsi="Times New Roman"/>
      <w:sz w:val="24"/>
      <w:szCs w:val="24"/>
    </w:rPr>
  </w:style>
  <w:style w:type="paragraph" w:styleId="TOC9">
    <w:name w:val="toc 9"/>
    <w:basedOn w:val="Normal"/>
    <w:next w:val="Normal"/>
    <w:autoRedefine/>
    <w:semiHidden/>
    <w:rsid w:val="005B7F58"/>
    <w:pPr>
      <w:spacing w:after="0" w:line="240" w:lineRule="auto"/>
      <w:ind w:left="1920"/>
    </w:pPr>
    <w:rPr>
      <w:rFonts w:ascii="Times New Roman" w:hAnsi="Times New Roman"/>
      <w:sz w:val="24"/>
      <w:szCs w:val="24"/>
    </w:rPr>
  </w:style>
  <w:style w:type="paragraph" w:customStyle="1" w:styleId="Heading3a">
    <w:name w:val="Heading 3a"/>
    <w:basedOn w:val="Heading3"/>
    <w:rsid w:val="005B7F58"/>
    <w:pPr>
      <w:keepNext w:val="0"/>
      <w:keepLines w:val="0"/>
      <w:spacing w:before="120" w:after="480" w:line="240" w:lineRule="auto"/>
      <w:jc w:val="center"/>
    </w:pPr>
    <w:rPr>
      <w:rFonts w:ascii="Arial" w:eastAsia="Arial Unicode MS" w:hAnsi="Arial" w:cs="Arial Unicode MS"/>
      <w:color w:val="auto"/>
      <w:sz w:val="40"/>
      <w:szCs w:val="27"/>
    </w:rPr>
  </w:style>
  <w:style w:type="paragraph" w:styleId="NoSpacing">
    <w:name w:val="No Spacing"/>
    <w:uiPriority w:val="1"/>
    <w:qFormat/>
    <w:rsid w:val="00A33EB5"/>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795E"/>
    <w:pPr>
      <w:spacing w:after="200" w:line="276" w:lineRule="auto"/>
    </w:pPr>
    <w:rPr>
      <w:sz w:val="22"/>
      <w:szCs w:val="22"/>
    </w:rPr>
  </w:style>
  <w:style w:type="paragraph" w:styleId="Heading1">
    <w:name w:val="heading 1"/>
    <w:basedOn w:val="Normal"/>
    <w:next w:val="Normal"/>
    <w:link w:val="Heading1Char"/>
    <w:qFormat/>
    <w:rsid w:val="00BE6AA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BE6AA2"/>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BE6AA2"/>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3F4544"/>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qFormat/>
    <w:rsid w:val="005B7F58"/>
    <w:pPr>
      <w:spacing w:before="240" w:beforeAutospacing="1" w:after="60" w:afterAutospacing="1" w:line="240" w:lineRule="auto"/>
      <w:ind w:firstLine="10"/>
      <w:outlineLvl w:val="4"/>
    </w:pPr>
    <w:rPr>
      <w:rFonts w:ascii="Arial" w:hAnsi="Arial"/>
      <w:b/>
      <w:bCs/>
      <w:iCs/>
      <w:noProof/>
      <w:color w:val="000000"/>
      <w:sz w:val="28"/>
      <w:szCs w:val="24"/>
    </w:rPr>
  </w:style>
  <w:style w:type="paragraph" w:styleId="Heading6">
    <w:name w:val="heading 6"/>
    <w:basedOn w:val="Normal"/>
    <w:next w:val="Normal"/>
    <w:link w:val="Heading6Char"/>
    <w:autoRedefine/>
    <w:qFormat/>
    <w:rsid w:val="005B7F58"/>
    <w:pPr>
      <w:keepNext/>
      <w:spacing w:before="240" w:after="120" w:line="240" w:lineRule="auto"/>
      <w:outlineLvl w:val="5"/>
    </w:pPr>
    <w:rPr>
      <w:rFonts w:ascii="Arial" w:hAnsi="Arial"/>
      <w:b/>
      <w:i/>
      <w:sz w:val="24"/>
      <w:szCs w:val="24"/>
    </w:rPr>
  </w:style>
  <w:style w:type="paragraph" w:styleId="Heading7">
    <w:name w:val="heading 7"/>
    <w:basedOn w:val="Normal"/>
    <w:next w:val="Normal"/>
    <w:link w:val="Heading7Char"/>
    <w:autoRedefine/>
    <w:qFormat/>
    <w:rsid w:val="005B7F58"/>
    <w:pPr>
      <w:keepNext/>
      <w:spacing w:before="240" w:after="240" w:line="240" w:lineRule="auto"/>
      <w:jc w:val="center"/>
      <w:outlineLvl w:val="6"/>
    </w:pPr>
    <w:rPr>
      <w:rFonts w:ascii="Times New Roman" w:hAnsi="Times New Roman"/>
      <w:b/>
      <w:sz w:val="28"/>
      <w:szCs w:val="24"/>
    </w:rPr>
  </w:style>
  <w:style w:type="paragraph" w:styleId="Heading8">
    <w:name w:val="heading 8"/>
    <w:basedOn w:val="Normal"/>
    <w:next w:val="Normal"/>
    <w:link w:val="Heading8Char"/>
    <w:qFormat/>
    <w:rsid w:val="00A56BC7"/>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qFormat/>
    <w:rsid w:val="005B7F58"/>
    <w:pPr>
      <w:tabs>
        <w:tab w:val="num" w:pos="1584"/>
      </w:tabs>
      <w:spacing w:before="240" w:after="60" w:line="240" w:lineRule="auto"/>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991"/>
    <w:pPr>
      <w:ind w:left="720"/>
      <w:contextualSpacing/>
    </w:pPr>
  </w:style>
  <w:style w:type="character" w:customStyle="1" w:styleId="Heading1Char">
    <w:name w:val="Heading 1 Char"/>
    <w:link w:val="Heading1"/>
    <w:uiPriority w:val="9"/>
    <w:rsid w:val="00BE6AA2"/>
    <w:rPr>
      <w:rFonts w:ascii="Cambria" w:eastAsia="Times New Roman" w:hAnsi="Cambria" w:cs="Times New Roman"/>
      <w:b/>
      <w:bCs/>
      <w:color w:val="365F91"/>
      <w:sz w:val="28"/>
      <w:szCs w:val="28"/>
    </w:rPr>
  </w:style>
  <w:style w:type="character" w:customStyle="1" w:styleId="Heading2Char">
    <w:name w:val="Heading 2 Char"/>
    <w:link w:val="Heading2"/>
    <w:rsid w:val="00BE6AA2"/>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E6AA2"/>
    <w:rPr>
      <w:rFonts w:ascii="Cambria" w:eastAsia="Times New Roman" w:hAnsi="Cambria" w:cs="Times New Roman"/>
      <w:b/>
      <w:bCs/>
      <w:color w:val="4F81BD"/>
    </w:rPr>
  </w:style>
  <w:style w:type="paragraph" w:styleId="Caption">
    <w:name w:val="caption"/>
    <w:basedOn w:val="Normal"/>
    <w:next w:val="Normal"/>
    <w:qFormat/>
    <w:rsid w:val="005134B4"/>
    <w:pPr>
      <w:spacing w:line="240" w:lineRule="auto"/>
    </w:pPr>
    <w:rPr>
      <w:rFonts w:eastAsia="Calibri"/>
      <w:b/>
      <w:bCs/>
      <w:color w:val="4F81BD"/>
      <w:sz w:val="18"/>
      <w:szCs w:val="18"/>
    </w:rPr>
  </w:style>
  <w:style w:type="paragraph" w:styleId="BalloonText">
    <w:name w:val="Balloon Text"/>
    <w:basedOn w:val="Normal"/>
    <w:link w:val="BalloonTextChar"/>
    <w:semiHidden/>
    <w:unhideWhenUsed/>
    <w:rsid w:val="005134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34B4"/>
    <w:rPr>
      <w:rFonts w:ascii="Tahoma" w:hAnsi="Tahoma" w:cs="Tahoma"/>
      <w:sz w:val="16"/>
      <w:szCs w:val="16"/>
    </w:rPr>
  </w:style>
  <w:style w:type="character" w:styleId="CommentReference">
    <w:name w:val="annotation reference"/>
    <w:uiPriority w:val="99"/>
    <w:semiHidden/>
    <w:unhideWhenUsed/>
    <w:rsid w:val="00C53F3E"/>
    <w:rPr>
      <w:sz w:val="16"/>
      <w:szCs w:val="16"/>
    </w:rPr>
  </w:style>
  <w:style w:type="paragraph" w:styleId="CommentText">
    <w:name w:val="annotation text"/>
    <w:basedOn w:val="Normal"/>
    <w:link w:val="CommentTextChar"/>
    <w:unhideWhenUsed/>
    <w:rsid w:val="00C53F3E"/>
    <w:pPr>
      <w:spacing w:line="240" w:lineRule="auto"/>
    </w:pPr>
    <w:rPr>
      <w:rFonts w:eastAsia="Calibri"/>
      <w:sz w:val="20"/>
      <w:szCs w:val="20"/>
    </w:rPr>
  </w:style>
  <w:style w:type="character" w:customStyle="1" w:styleId="CommentTextChar">
    <w:name w:val="Comment Text Char"/>
    <w:link w:val="CommentText"/>
    <w:rsid w:val="00C53F3E"/>
    <w:rPr>
      <w:rFonts w:ascii="Calibri" w:eastAsia="Calibri" w:hAnsi="Calibri" w:cs="Times New Roman"/>
      <w:sz w:val="20"/>
      <w:szCs w:val="20"/>
    </w:rPr>
  </w:style>
  <w:style w:type="paragraph" w:styleId="FootnoteText">
    <w:name w:val="footnote text"/>
    <w:basedOn w:val="Normal"/>
    <w:link w:val="FootnoteTextChar"/>
    <w:uiPriority w:val="99"/>
    <w:semiHidden/>
    <w:rsid w:val="00C53F3E"/>
    <w:pPr>
      <w:widowControl w:val="0"/>
      <w:spacing w:after="0" w:line="240" w:lineRule="auto"/>
    </w:pPr>
    <w:rPr>
      <w:sz w:val="16"/>
      <w:szCs w:val="20"/>
    </w:rPr>
  </w:style>
  <w:style w:type="character" w:customStyle="1" w:styleId="FootnoteTextChar">
    <w:name w:val="Footnote Text Char"/>
    <w:link w:val="FootnoteText"/>
    <w:uiPriority w:val="99"/>
    <w:semiHidden/>
    <w:rsid w:val="00C53F3E"/>
    <w:rPr>
      <w:rFonts w:eastAsia="Times New Roman" w:cs="Times New Roman"/>
      <w:sz w:val="16"/>
      <w:szCs w:val="20"/>
    </w:rPr>
  </w:style>
  <w:style w:type="character" w:styleId="FootnoteReference">
    <w:name w:val="footnote reference"/>
    <w:uiPriority w:val="99"/>
    <w:semiHidden/>
    <w:rsid w:val="00C53F3E"/>
    <w:rPr>
      <w:vertAlign w:val="superscript"/>
    </w:rPr>
  </w:style>
  <w:style w:type="paragraph" w:styleId="Subtitle">
    <w:name w:val="Subtitle"/>
    <w:basedOn w:val="Normal"/>
    <w:next w:val="Normal"/>
    <w:link w:val="SubtitleChar"/>
    <w:uiPriority w:val="11"/>
    <w:qFormat/>
    <w:rsid w:val="000B70D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B70D3"/>
    <w:rPr>
      <w:rFonts w:ascii="Cambria" w:eastAsia="Times New Roman" w:hAnsi="Cambria" w:cs="Times New Roman"/>
      <w:i/>
      <w:iCs/>
      <w:color w:val="4F81BD"/>
      <w:spacing w:val="15"/>
      <w:sz w:val="24"/>
      <w:szCs w:val="24"/>
    </w:rPr>
  </w:style>
  <w:style w:type="character" w:customStyle="1" w:styleId="Heading4Char">
    <w:name w:val="Heading 4 Char"/>
    <w:link w:val="Heading4"/>
    <w:uiPriority w:val="9"/>
    <w:rsid w:val="003F4544"/>
    <w:rPr>
      <w:rFonts w:ascii="Cambria" w:eastAsia="Times New Roman" w:hAnsi="Cambria" w:cs="Times New Roman"/>
      <w:b/>
      <w:bCs/>
      <w:i/>
      <w:iCs/>
      <w:color w:val="4F81BD"/>
    </w:rPr>
  </w:style>
  <w:style w:type="paragraph" w:styleId="Title">
    <w:name w:val="Title"/>
    <w:basedOn w:val="Normal"/>
    <w:next w:val="Normal"/>
    <w:link w:val="TitleChar"/>
    <w:qFormat/>
    <w:rsid w:val="001C64B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C64B8"/>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B8"/>
  </w:style>
  <w:style w:type="paragraph" w:styleId="Footer">
    <w:name w:val="footer"/>
    <w:basedOn w:val="Normal"/>
    <w:link w:val="FooterChar"/>
    <w:uiPriority w:val="99"/>
    <w:unhideWhenUsed/>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B8"/>
  </w:style>
  <w:style w:type="paragraph" w:styleId="TOC1">
    <w:name w:val="toc 1"/>
    <w:basedOn w:val="Normal"/>
    <w:next w:val="Normal"/>
    <w:autoRedefine/>
    <w:uiPriority w:val="39"/>
    <w:unhideWhenUsed/>
    <w:rsid w:val="002E63B4"/>
    <w:pPr>
      <w:tabs>
        <w:tab w:val="right" w:leader="dot" w:pos="9350"/>
      </w:tabs>
      <w:spacing w:after="240"/>
    </w:pPr>
    <w:rPr>
      <w:b/>
      <w:noProof/>
    </w:rPr>
  </w:style>
  <w:style w:type="paragraph" w:styleId="TOC2">
    <w:name w:val="toc 2"/>
    <w:basedOn w:val="Normal"/>
    <w:next w:val="Normal"/>
    <w:autoRedefine/>
    <w:uiPriority w:val="39"/>
    <w:unhideWhenUsed/>
    <w:rsid w:val="001C64B8"/>
    <w:pPr>
      <w:spacing w:after="100"/>
      <w:ind w:left="220"/>
    </w:pPr>
  </w:style>
  <w:style w:type="paragraph" w:styleId="TOC3">
    <w:name w:val="toc 3"/>
    <w:basedOn w:val="Normal"/>
    <w:next w:val="Normal"/>
    <w:autoRedefine/>
    <w:uiPriority w:val="39"/>
    <w:unhideWhenUsed/>
    <w:rsid w:val="001C64B8"/>
    <w:pPr>
      <w:spacing w:after="100"/>
      <w:ind w:left="440"/>
    </w:pPr>
  </w:style>
  <w:style w:type="character" w:styleId="Hyperlink">
    <w:name w:val="Hyperlink"/>
    <w:uiPriority w:val="99"/>
    <w:unhideWhenUsed/>
    <w:rsid w:val="001C64B8"/>
    <w:rPr>
      <w:color w:val="0000FF"/>
      <w:u w:val="single"/>
    </w:rPr>
  </w:style>
  <w:style w:type="character" w:customStyle="1" w:styleId="Heading8Char">
    <w:name w:val="Heading 8 Char"/>
    <w:link w:val="Heading8"/>
    <w:uiPriority w:val="9"/>
    <w:semiHidden/>
    <w:rsid w:val="00A56BC7"/>
    <w:rPr>
      <w:rFonts w:ascii="Cambria" w:eastAsia="Times New Roman" w:hAnsi="Cambria" w:cs="Times New Roman"/>
      <w:color w:val="404040"/>
      <w:sz w:val="20"/>
      <w:szCs w:val="20"/>
    </w:rPr>
  </w:style>
  <w:style w:type="paragraph" w:styleId="NormalWeb">
    <w:name w:val="Normal (Web)"/>
    <w:basedOn w:val="Normal"/>
    <w:unhideWhenUsed/>
    <w:rsid w:val="002E3F52"/>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qFormat/>
    <w:rsid w:val="0056081A"/>
    <w:pPr>
      <w:outlineLvl w:val="9"/>
    </w:pPr>
    <w:rPr>
      <w:lang w:eastAsia="ja-JP"/>
    </w:rPr>
  </w:style>
  <w:style w:type="paragraph" w:styleId="CommentSubject">
    <w:name w:val="annotation subject"/>
    <w:basedOn w:val="CommentText"/>
    <w:next w:val="CommentText"/>
    <w:link w:val="CommentSubjectChar"/>
    <w:uiPriority w:val="99"/>
    <w:semiHidden/>
    <w:unhideWhenUsed/>
    <w:rsid w:val="00424ADD"/>
    <w:rPr>
      <w:rFonts w:eastAsia="Times New Roman"/>
      <w:b/>
      <w:bCs/>
    </w:rPr>
  </w:style>
  <w:style w:type="character" w:customStyle="1" w:styleId="CommentSubjectChar">
    <w:name w:val="Comment Subject Char"/>
    <w:link w:val="CommentSubject"/>
    <w:uiPriority w:val="99"/>
    <w:semiHidden/>
    <w:rsid w:val="00424ADD"/>
    <w:rPr>
      <w:rFonts w:ascii="Calibri" w:eastAsia="Calibri" w:hAnsi="Calibri" w:cs="Times New Roman"/>
      <w:b/>
      <w:bCs/>
      <w:sz w:val="20"/>
      <w:szCs w:val="20"/>
    </w:rPr>
  </w:style>
  <w:style w:type="paragraph" w:styleId="Revision">
    <w:name w:val="Revision"/>
    <w:hidden/>
    <w:uiPriority w:val="99"/>
    <w:semiHidden/>
    <w:rsid w:val="00A772A8"/>
    <w:rPr>
      <w:sz w:val="22"/>
      <w:szCs w:val="22"/>
    </w:rPr>
  </w:style>
  <w:style w:type="character" w:styleId="FollowedHyperlink">
    <w:name w:val="FollowedHyperlink"/>
    <w:semiHidden/>
    <w:unhideWhenUsed/>
    <w:rsid w:val="00B73F48"/>
    <w:rPr>
      <w:color w:val="800080"/>
      <w:u w:val="single"/>
    </w:rPr>
  </w:style>
  <w:style w:type="character" w:styleId="LineNumber">
    <w:name w:val="line number"/>
    <w:basedOn w:val="DefaultParagraphFont"/>
    <w:uiPriority w:val="99"/>
    <w:semiHidden/>
    <w:unhideWhenUsed/>
    <w:rsid w:val="000E56BB"/>
  </w:style>
  <w:style w:type="character" w:customStyle="1" w:styleId="Heading5Char">
    <w:name w:val="Heading 5 Char"/>
    <w:link w:val="Heading5"/>
    <w:rsid w:val="005B7F58"/>
    <w:rPr>
      <w:rFonts w:ascii="Arial" w:eastAsia="Times New Roman" w:hAnsi="Arial" w:cs="Times New Roman"/>
      <w:b/>
      <w:bCs/>
      <w:iCs/>
      <w:noProof/>
      <w:color w:val="000000"/>
      <w:sz w:val="28"/>
      <w:szCs w:val="24"/>
    </w:rPr>
  </w:style>
  <w:style w:type="character" w:customStyle="1" w:styleId="Heading6Char">
    <w:name w:val="Heading 6 Char"/>
    <w:link w:val="Heading6"/>
    <w:rsid w:val="005B7F58"/>
    <w:rPr>
      <w:rFonts w:ascii="Arial" w:eastAsia="Times New Roman" w:hAnsi="Arial" w:cs="Times New Roman"/>
      <w:b/>
      <w:i/>
      <w:sz w:val="24"/>
      <w:szCs w:val="24"/>
    </w:rPr>
  </w:style>
  <w:style w:type="character" w:customStyle="1" w:styleId="Heading7Char">
    <w:name w:val="Heading 7 Char"/>
    <w:link w:val="Heading7"/>
    <w:rsid w:val="005B7F58"/>
    <w:rPr>
      <w:rFonts w:ascii="Times New Roman" w:eastAsia="Times New Roman" w:hAnsi="Times New Roman" w:cs="Times New Roman"/>
      <w:b/>
      <w:sz w:val="28"/>
      <w:szCs w:val="24"/>
    </w:rPr>
  </w:style>
  <w:style w:type="character" w:customStyle="1" w:styleId="Heading9Char">
    <w:name w:val="Heading 9 Char"/>
    <w:link w:val="Heading9"/>
    <w:rsid w:val="005B7F58"/>
    <w:rPr>
      <w:rFonts w:ascii="Arial" w:eastAsia="Times New Roman" w:hAnsi="Arial" w:cs="Arial"/>
    </w:rPr>
  </w:style>
  <w:style w:type="paragraph" w:styleId="ListBullet">
    <w:name w:val="List Bullet"/>
    <w:basedOn w:val="Normal"/>
    <w:autoRedefine/>
    <w:semiHidden/>
    <w:rsid w:val="005B7F58"/>
    <w:pPr>
      <w:numPr>
        <w:numId w:val="7"/>
      </w:numPr>
      <w:spacing w:after="0" w:line="240" w:lineRule="auto"/>
    </w:pPr>
    <w:rPr>
      <w:rFonts w:ascii="Times New Roman" w:hAnsi="Times New Roman"/>
      <w:sz w:val="24"/>
      <w:szCs w:val="24"/>
    </w:rPr>
  </w:style>
  <w:style w:type="paragraph" w:styleId="List">
    <w:name w:val="List"/>
    <w:basedOn w:val="Normal"/>
    <w:semiHidden/>
    <w:rsid w:val="005B7F58"/>
    <w:pPr>
      <w:numPr>
        <w:numId w:val="8"/>
      </w:numPr>
      <w:spacing w:after="40" w:line="240" w:lineRule="auto"/>
      <w:ind w:left="3600" w:right="432"/>
    </w:pPr>
    <w:rPr>
      <w:rFonts w:ascii="Times New Roman" w:hAnsi="Times New Roman"/>
      <w:sz w:val="24"/>
      <w:szCs w:val="20"/>
    </w:rPr>
  </w:style>
  <w:style w:type="paragraph" w:customStyle="1" w:styleId="Bulleted">
    <w:name w:val="Bulleted"/>
    <w:basedOn w:val="BodyText"/>
    <w:rsid w:val="005B7F58"/>
    <w:pPr>
      <w:numPr>
        <w:numId w:val="9"/>
      </w:numPr>
      <w:overflowPunct/>
      <w:autoSpaceDE/>
      <w:autoSpaceDN/>
      <w:adjustRightInd/>
      <w:spacing w:after="80"/>
      <w:textAlignment w:val="auto"/>
    </w:pPr>
    <w:rPr>
      <w:b/>
      <w:i/>
      <w:color w:val="auto"/>
      <w:szCs w:val="24"/>
    </w:rPr>
  </w:style>
  <w:style w:type="paragraph" w:styleId="BodyText">
    <w:name w:val="Body Text"/>
    <w:basedOn w:val="Normal"/>
    <w:link w:val="BodyTextChar"/>
    <w:semiHidden/>
    <w:rsid w:val="005B7F58"/>
    <w:pPr>
      <w:overflowPunct w:val="0"/>
      <w:autoSpaceDE w:val="0"/>
      <w:autoSpaceDN w:val="0"/>
      <w:adjustRightInd w:val="0"/>
      <w:spacing w:after="120" w:line="240" w:lineRule="auto"/>
      <w:textAlignment w:val="baseline"/>
    </w:pPr>
    <w:rPr>
      <w:rFonts w:ascii="Times New Roman" w:hAnsi="Times New Roman"/>
      <w:color w:val="000000"/>
      <w:sz w:val="24"/>
      <w:szCs w:val="20"/>
    </w:rPr>
  </w:style>
  <w:style w:type="character" w:customStyle="1" w:styleId="BodyTextChar">
    <w:name w:val="Body Text Char"/>
    <w:link w:val="BodyText"/>
    <w:semiHidden/>
    <w:rsid w:val="005B7F58"/>
    <w:rPr>
      <w:rFonts w:ascii="Times New Roman" w:eastAsia="Times New Roman" w:hAnsi="Times New Roman" w:cs="Times New Roman"/>
      <w:color w:val="000000"/>
      <w:sz w:val="24"/>
      <w:szCs w:val="20"/>
    </w:rPr>
  </w:style>
  <w:style w:type="paragraph" w:styleId="PlainText">
    <w:name w:val="Plain Text"/>
    <w:basedOn w:val="Normal"/>
    <w:link w:val="PlainTextChar"/>
    <w:semiHidden/>
    <w:rsid w:val="005B7F58"/>
    <w:pPr>
      <w:spacing w:after="0" w:line="240" w:lineRule="auto"/>
    </w:pPr>
    <w:rPr>
      <w:rFonts w:ascii="Courier New" w:hAnsi="Courier New"/>
      <w:sz w:val="20"/>
      <w:szCs w:val="20"/>
    </w:rPr>
  </w:style>
  <w:style w:type="character" w:customStyle="1" w:styleId="PlainTextChar">
    <w:name w:val="Plain Text Char"/>
    <w:link w:val="PlainText"/>
    <w:semiHidden/>
    <w:rsid w:val="005B7F58"/>
    <w:rPr>
      <w:rFonts w:ascii="Courier New" w:eastAsia="Times New Roman" w:hAnsi="Courier New" w:cs="Times New Roman"/>
      <w:sz w:val="20"/>
      <w:szCs w:val="20"/>
    </w:rPr>
  </w:style>
  <w:style w:type="paragraph" w:customStyle="1" w:styleId="body1">
    <w:name w:val="body1"/>
    <w:basedOn w:val="Normal"/>
    <w:rsid w:val="005B7F58"/>
    <w:pPr>
      <w:spacing w:after="240" w:line="240" w:lineRule="auto"/>
      <w:ind w:left="720"/>
    </w:pPr>
    <w:rPr>
      <w:rFonts w:ascii="Times New Roman" w:hAnsi="Times New Roman"/>
      <w:sz w:val="24"/>
      <w:szCs w:val="24"/>
    </w:rPr>
  </w:style>
  <w:style w:type="paragraph" w:customStyle="1" w:styleId="workelemhead">
    <w:name w:val="work elem head"/>
    <w:basedOn w:val="Normal"/>
    <w:rsid w:val="005B7F58"/>
    <w:pPr>
      <w:keepNext/>
      <w:keepLines/>
      <w:tabs>
        <w:tab w:val="left" w:pos="504"/>
        <w:tab w:val="left" w:pos="1440"/>
        <w:tab w:val="right" w:pos="9360"/>
      </w:tabs>
      <w:spacing w:before="240" w:after="240" w:line="240" w:lineRule="auto"/>
    </w:pPr>
    <w:rPr>
      <w:rFonts w:ascii="Times New Roman" w:hAnsi="Times New Roman"/>
      <w:szCs w:val="24"/>
    </w:rPr>
  </w:style>
  <w:style w:type="character" w:styleId="PageNumber">
    <w:name w:val="page number"/>
    <w:basedOn w:val="DefaultParagraphFont"/>
    <w:semiHidden/>
    <w:rsid w:val="005B7F58"/>
  </w:style>
  <w:style w:type="paragraph" w:styleId="DocumentMap">
    <w:name w:val="Document Map"/>
    <w:basedOn w:val="Normal"/>
    <w:link w:val="DocumentMapChar"/>
    <w:semiHidden/>
    <w:rsid w:val="005B7F58"/>
    <w:pPr>
      <w:shd w:val="clear" w:color="auto" w:fill="000080"/>
      <w:spacing w:after="0" w:line="240" w:lineRule="auto"/>
    </w:pPr>
    <w:rPr>
      <w:rFonts w:ascii="Tahoma" w:hAnsi="Tahoma" w:cs="Tahoma"/>
      <w:sz w:val="24"/>
      <w:szCs w:val="24"/>
    </w:rPr>
  </w:style>
  <w:style w:type="character" w:customStyle="1" w:styleId="DocumentMapChar">
    <w:name w:val="Document Map Char"/>
    <w:link w:val="DocumentMap"/>
    <w:semiHidden/>
    <w:rsid w:val="005B7F58"/>
    <w:rPr>
      <w:rFonts w:ascii="Tahoma" w:eastAsia="Times New Roman" w:hAnsi="Tahoma" w:cs="Tahoma"/>
      <w:sz w:val="24"/>
      <w:szCs w:val="24"/>
      <w:shd w:val="clear" w:color="auto" w:fill="000080"/>
    </w:rPr>
  </w:style>
  <w:style w:type="paragraph" w:styleId="BodyText2">
    <w:name w:val="Body Text 2"/>
    <w:basedOn w:val="Normal"/>
    <w:link w:val="BodyText2Char"/>
    <w:semiHidden/>
    <w:rsid w:val="005B7F58"/>
    <w:pPr>
      <w:spacing w:after="0" w:line="240" w:lineRule="auto"/>
      <w:jc w:val="center"/>
    </w:pPr>
    <w:rPr>
      <w:rFonts w:ascii="Arial" w:hAnsi="Arial" w:cs="Arial"/>
      <w:b/>
      <w:bCs/>
      <w:sz w:val="28"/>
      <w:szCs w:val="24"/>
    </w:rPr>
  </w:style>
  <w:style w:type="character" w:customStyle="1" w:styleId="BodyText2Char">
    <w:name w:val="Body Text 2 Char"/>
    <w:link w:val="BodyText2"/>
    <w:semiHidden/>
    <w:rsid w:val="005B7F58"/>
    <w:rPr>
      <w:rFonts w:ascii="Arial" w:eastAsia="Times New Roman" w:hAnsi="Arial" w:cs="Arial"/>
      <w:b/>
      <w:bCs/>
      <w:sz w:val="28"/>
      <w:szCs w:val="24"/>
    </w:rPr>
  </w:style>
  <w:style w:type="paragraph" w:styleId="TOC4">
    <w:name w:val="toc 4"/>
    <w:basedOn w:val="Normal"/>
    <w:next w:val="Normal"/>
    <w:autoRedefine/>
    <w:semiHidden/>
    <w:rsid w:val="005B7F58"/>
    <w:pPr>
      <w:spacing w:beforeAutospacing="1" w:after="0" w:afterAutospacing="1" w:line="240" w:lineRule="auto"/>
      <w:ind w:left="480" w:firstLine="10"/>
    </w:pPr>
    <w:rPr>
      <w:rFonts w:ascii="Times New Roman" w:hAnsi="Times New Roman"/>
      <w:noProof/>
      <w:color w:val="000000"/>
      <w:sz w:val="20"/>
      <w:szCs w:val="20"/>
    </w:rPr>
  </w:style>
  <w:style w:type="paragraph" w:styleId="TOC5">
    <w:name w:val="toc 5"/>
    <w:basedOn w:val="Normal"/>
    <w:next w:val="Normal"/>
    <w:autoRedefine/>
    <w:semiHidden/>
    <w:rsid w:val="005B7F58"/>
    <w:pPr>
      <w:spacing w:beforeAutospacing="1" w:after="0" w:afterAutospacing="1" w:line="240" w:lineRule="auto"/>
      <w:ind w:left="720" w:firstLine="10"/>
    </w:pPr>
    <w:rPr>
      <w:rFonts w:ascii="Times New Roman" w:hAnsi="Times New Roman"/>
      <w:noProof/>
      <w:color w:val="000000"/>
      <w:sz w:val="20"/>
      <w:szCs w:val="20"/>
    </w:rPr>
  </w:style>
  <w:style w:type="paragraph" w:styleId="TOC6">
    <w:name w:val="toc 6"/>
    <w:basedOn w:val="Normal"/>
    <w:next w:val="Normal"/>
    <w:autoRedefine/>
    <w:semiHidden/>
    <w:rsid w:val="005B7F58"/>
    <w:pPr>
      <w:spacing w:beforeAutospacing="1" w:after="0" w:afterAutospacing="1" w:line="240" w:lineRule="auto"/>
      <w:ind w:left="960" w:firstLine="10"/>
    </w:pPr>
    <w:rPr>
      <w:rFonts w:ascii="Times New Roman" w:hAnsi="Times New Roman"/>
      <w:noProof/>
      <w:color w:val="000000"/>
      <w:sz w:val="20"/>
      <w:szCs w:val="20"/>
    </w:rPr>
  </w:style>
  <w:style w:type="paragraph" w:styleId="TOC7">
    <w:name w:val="toc 7"/>
    <w:basedOn w:val="Normal"/>
    <w:next w:val="Normal"/>
    <w:autoRedefine/>
    <w:semiHidden/>
    <w:rsid w:val="005B7F58"/>
    <w:pPr>
      <w:spacing w:beforeAutospacing="1" w:after="0" w:afterAutospacing="1" w:line="240" w:lineRule="auto"/>
      <w:ind w:left="1200" w:firstLine="10"/>
    </w:pPr>
    <w:rPr>
      <w:rFonts w:ascii="Times New Roman" w:hAnsi="Times New Roman"/>
      <w:noProof/>
      <w:color w:val="000000"/>
      <w:sz w:val="20"/>
      <w:szCs w:val="20"/>
    </w:rPr>
  </w:style>
  <w:style w:type="paragraph" w:styleId="NormalIndent">
    <w:name w:val="Normal Indent"/>
    <w:basedOn w:val="Normal"/>
    <w:semiHidden/>
    <w:rsid w:val="005B7F58"/>
    <w:pPr>
      <w:spacing w:before="100" w:beforeAutospacing="1" w:after="100" w:afterAutospacing="1" w:line="240" w:lineRule="auto"/>
      <w:ind w:left="720" w:firstLine="10"/>
    </w:pPr>
    <w:rPr>
      <w:rFonts w:ascii="Times New Roman" w:hAnsi="Times New Roman"/>
      <w:noProof/>
      <w:color w:val="000000"/>
      <w:sz w:val="24"/>
      <w:szCs w:val="24"/>
    </w:rPr>
  </w:style>
  <w:style w:type="paragraph" w:styleId="BodyTextIndent">
    <w:name w:val="Body Text Indent"/>
    <w:basedOn w:val="Normal"/>
    <w:link w:val="BodyTextIndentChar"/>
    <w:semiHidden/>
    <w:rsid w:val="005B7F58"/>
    <w:pPr>
      <w:spacing w:before="100" w:beforeAutospacing="1" w:after="100" w:afterAutospacing="1" w:line="240" w:lineRule="auto"/>
      <w:ind w:firstLine="10"/>
    </w:pPr>
    <w:rPr>
      <w:rFonts w:ascii="Times New Roman" w:hAnsi="Times New Roman"/>
      <w:noProof/>
      <w:color w:val="000000"/>
      <w:sz w:val="24"/>
      <w:szCs w:val="24"/>
    </w:rPr>
  </w:style>
  <w:style w:type="character" w:customStyle="1" w:styleId="BodyTextIndentChar">
    <w:name w:val="Body Text Indent Char"/>
    <w:link w:val="BodyTextIndent"/>
    <w:semiHidden/>
    <w:rsid w:val="005B7F58"/>
    <w:rPr>
      <w:rFonts w:ascii="Times New Roman" w:eastAsia="Times New Roman" w:hAnsi="Times New Roman" w:cs="Times New Roman"/>
      <w:noProof/>
      <w:color w:val="000000"/>
      <w:sz w:val="24"/>
      <w:szCs w:val="24"/>
    </w:rPr>
  </w:style>
  <w:style w:type="paragraph" w:styleId="BlockText">
    <w:name w:val="Block Text"/>
    <w:basedOn w:val="Normal"/>
    <w:semiHidden/>
    <w:rsid w:val="005B7F58"/>
    <w:pPr>
      <w:spacing w:after="0" w:line="240" w:lineRule="auto"/>
      <w:ind w:left="1526" w:right="2160"/>
    </w:pPr>
    <w:rPr>
      <w:rFonts w:ascii="Times New Roman" w:hAnsi="Times New Roman"/>
      <w:i/>
      <w:iCs/>
      <w:sz w:val="24"/>
      <w:szCs w:val="24"/>
    </w:rPr>
  </w:style>
  <w:style w:type="paragraph" w:styleId="EndnoteText">
    <w:name w:val="endnote text"/>
    <w:basedOn w:val="Normal"/>
    <w:link w:val="EndnoteTextChar"/>
    <w:semiHidden/>
    <w:rsid w:val="005B7F58"/>
    <w:pPr>
      <w:spacing w:after="0" w:line="240" w:lineRule="auto"/>
    </w:pPr>
    <w:rPr>
      <w:rFonts w:ascii="Times New Roman" w:hAnsi="Times New Roman"/>
      <w:sz w:val="20"/>
      <w:szCs w:val="20"/>
    </w:rPr>
  </w:style>
  <w:style w:type="character" w:customStyle="1" w:styleId="EndnoteTextChar">
    <w:name w:val="Endnote Text Char"/>
    <w:link w:val="EndnoteText"/>
    <w:semiHidden/>
    <w:rsid w:val="005B7F58"/>
    <w:rPr>
      <w:rFonts w:ascii="Times New Roman" w:eastAsia="Times New Roman" w:hAnsi="Times New Roman" w:cs="Times New Roman"/>
      <w:sz w:val="20"/>
      <w:szCs w:val="20"/>
    </w:rPr>
  </w:style>
  <w:style w:type="character" w:styleId="EndnoteReference">
    <w:name w:val="endnote reference"/>
    <w:semiHidden/>
    <w:rsid w:val="005B7F58"/>
    <w:rPr>
      <w:vertAlign w:val="superscript"/>
    </w:rPr>
  </w:style>
  <w:style w:type="paragraph" w:styleId="BodyText3">
    <w:name w:val="Body Text 3"/>
    <w:basedOn w:val="Normal"/>
    <w:link w:val="BodyText3Char"/>
    <w:semiHidden/>
    <w:rsid w:val="005B7F58"/>
    <w:pPr>
      <w:spacing w:after="0" w:line="240" w:lineRule="auto"/>
    </w:pPr>
    <w:rPr>
      <w:rFonts w:ascii="Times New Roman" w:hAnsi="Times New Roman"/>
      <w:sz w:val="20"/>
      <w:szCs w:val="24"/>
    </w:rPr>
  </w:style>
  <w:style w:type="character" w:customStyle="1" w:styleId="BodyText3Char">
    <w:name w:val="Body Text 3 Char"/>
    <w:link w:val="BodyText3"/>
    <w:semiHidden/>
    <w:rsid w:val="005B7F58"/>
    <w:rPr>
      <w:rFonts w:ascii="Times New Roman" w:eastAsia="Times New Roman" w:hAnsi="Times New Roman" w:cs="Times New Roman"/>
      <w:sz w:val="20"/>
      <w:szCs w:val="24"/>
    </w:rPr>
  </w:style>
  <w:style w:type="paragraph" w:customStyle="1" w:styleId="Heading1a">
    <w:name w:val="Heading 1a"/>
    <w:basedOn w:val="Heading1"/>
    <w:rsid w:val="005B7F58"/>
    <w:pPr>
      <w:keepLines w:val="0"/>
      <w:spacing w:before="0" w:after="60" w:line="240" w:lineRule="auto"/>
    </w:pPr>
    <w:rPr>
      <w:rFonts w:ascii="Times New Roman" w:hAnsi="Times New Roman"/>
      <w:bCs w:val="0"/>
      <w:iCs/>
      <w:color w:val="auto"/>
      <w:szCs w:val="24"/>
    </w:rPr>
  </w:style>
  <w:style w:type="paragraph" w:customStyle="1" w:styleId="Heading2a">
    <w:name w:val="Heading 2a"/>
    <w:basedOn w:val="Heading2"/>
    <w:rsid w:val="005B7F58"/>
    <w:pPr>
      <w:keepLines w:val="0"/>
      <w:spacing w:before="120" w:after="120" w:line="240" w:lineRule="auto"/>
    </w:pPr>
    <w:rPr>
      <w:rFonts w:ascii="Arial" w:hAnsi="Arial" w:cs="Arial"/>
      <w:iCs/>
      <w:color w:val="auto"/>
      <w:sz w:val="24"/>
      <w:szCs w:val="28"/>
    </w:rPr>
  </w:style>
  <w:style w:type="paragraph" w:styleId="TOC8">
    <w:name w:val="toc 8"/>
    <w:basedOn w:val="Normal"/>
    <w:next w:val="Normal"/>
    <w:autoRedefine/>
    <w:semiHidden/>
    <w:rsid w:val="005B7F58"/>
    <w:pPr>
      <w:spacing w:after="0" w:line="240" w:lineRule="auto"/>
      <w:ind w:left="1680"/>
    </w:pPr>
    <w:rPr>
      <w:rFonts w:ascii="Times New Roman" w:hAnsi="Times New Roman"/>
      <w:sz w:val="24"/>
      <w:szCs w:val="24"/>
    </w:rPr>
  </w:style>
  <w:style w:type="paragraph" w:styleId="TOC9">
    <w:name w:val="toc 9"/>
    <w:basedOn w:val="Normal"/>
    <w:next w:val="Normal"/>
    <w:autoRedefine/>
    <w:semiHidden/>
    <w:rsid w:val="005B7F58"/>
    <w:pPr>
      <w:spacing w:after="0" w:line="240" w:lineRule="auto"/>
      <w:ind w:left="1920"/>
    </w:pPr>
    <w:rPr>
      <w:rFonts w:ascii="Times New Roman" w:hAnsi="Times New Roman"/>
      <w:sz w:val="24"/>
      <w:szCs w:val="24"/>
    </w:rPr>
  </w:style>
  <w:style w:type="paragraph" w:customStyle="1" w:styleId="Heading3a">
    <w:name w:val="Heading 3a"/>
    <w:basedOn w:val="Heading3"/>
    <w:rsid w:val="005B7F58"/>
    <w:pPr>
      <w:keepNext w:val="0"/>
      <w:keepLines w:val="0"/>
      <w:spacing w:before="120" w:after="480" w:line="240" w:lineRule="auto"/>
      <w:jc w:val="center"/>
    </w:pPr>
    <w:rPr>
      <w:rFonts w:ascii="Arial" w:eastAsia="Arial Unicode MS" w:hAnsi="Arial" w:cs="Arial Unicode MS"/>
      <w:color w:val="auto"/>
      <w:sz w:val="40"/>
      <w:szCs w:val="27"/>
    </w:rPr>
  </w:style>
  <w:style w:type="paragraph" w:styleId="NoSpacing">
    <w:name w:val="No Spacing"/>
    <w:uiPriority w:val="1"/>
    <w:qFormat/>
    <w:rsid w:val="00A33EB5"/>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063">
      <w:bodyDiv w:val="1"/>
      <w:marLeft w:val="0"/>
      <w:marRight w:val="0"/>
      <w:marTop w:val="0"/>
      <w:marBottom w:val="0"/>
      <w:divBdr>
        <w:top w:val="none" w:sz="0" w:space="0" w:color="auto"/>
        <w:left w:val="none" w:sz="0" w:space="0" w:color="auto"/>
        <w:bottom w:val="none" w:sz="0" w:space="0" w:color="auto"/>
        <w:right w:val="none" w:sz="0" w:space="0" w:color="auto"/>
      </w:divBdr>
      <w:divsChild>
        <w:div w:id="543299699">
          <w:marLeft w:val="547"/>
          <w:marRight w:val="0"/>
          <w:marTop w:val="0"/>
          <w:marBottom w:val="0"/>
          <w:divBdr>
            <w:top w:val="none" w:sz="0" w:space="0" w:color="auto"/>
            <w:left w:val="none" w:sz="0" w:space="0" w:color="auto"/>
            <w:bottom w:val="none" w:sz="0" w:space="0" w:color="auto"/>
            <w:right w:val="none" w:sz="0" w:space="0" w:color="auto"/>
          </w:divBdr>
        </w:div>
      </w:divsChild>
    </w:div>
    <w:div w:id="172913243">
      <w:bodyDiv w:val="1"/>
      <w:marLeft w:val="0"/>
      <w:marRight w:val="0"/>
      <w:marTop w:val="0"/>
      <w:marBottom w:val="0"/>
      <w:divBdr>
        <w:top w:val="none" w:sz="0" w:space="0" w:color="auto"/>
        <w:left w:val="none" w:sz="0" w:space="0" w:color="auto"/>
        <w:bottom w:val="none" w:sz="0" w:space="0" w:color="auto"/>
        <w:right w:val="none" w:sz="0" w:space="0" w:color="auto"/>
      </w:divBdr>
      <w:divsChild>
        <w:div w:id="1306200535">
          <w:marLeft w:val="547"/>
          <w:marRight w:val="0"/>
          <w:marTop w:val="0"/>
          <w:marBottom w:val="0"/>
          <w:divBdr>
            <w:top w:val="none" w:sz="0" w:space="0" w:color="auto"/>
            <w:left w:val="none" w:sz="0" w:space="0" w:color="auto"/>
            <w:bottom w:val="none" w:sz="0" w:space="0" w:color="auto"/>
            <w:right w:val="none" w:sz="0" w:space="0" w:color="auto"/>
          </w:divBdr>
        </w:div>
      </w:divsChild>
    </w:div>
    <w:div w:id="207573814">
      <w:bodyDiv w:val="1"/>
      <w:marLeft w:val="0"/>
      <w:marRight w:val="0"/>
      <w:marTop w:val="0"/>
      <w:marBottom w:val="0"/>
      <w:divBdr>
        <w:top w:val="none" w:sz="0" w:space="0" w:color="auto"/>
        <w:left w:val="none" w:sz="0" w:space="0" w:color="auto"/>
        <w:bottom w:val="none" w:sz="0" w:space="0" w:color="auto"/>
        <w:right w:val="none" w:sz="0" w:space="0" w:color="auto"/>
      </w:divBdr>
      <w:divsChild>
        <w:div w:id="1806728568">
          <w:marLeft w:val="547"/>
          <w:marRight w:val="0"/>
          <w:marTop w:val="0"/>
          <w:marBottom w:val="0"/>
          <w:divBdr>
            <w:top w:val="none" w:sz="0" w:space="0" w:color="auto"/>
            <w:left w:val="none" w:sz="0" w:space="0" w:color="auto"/>
            <w:bottom w:val="none" w:sz="0" w:space="0" w:color="auto"/>
            <w:right w:val="none" w:sz="0" w:space="0" w:color="auto"/>
          </w:divBdr>
        </w:div>
      </w:divsChild>
    </w:div>
    <w:div w:id="354891107">
      <w:bodyDiv w:val="1"/>
      <w:marLeft w:val="0"/>
      <w:marRight w:val="0"/>
      <w:marTop w:val="0"/>
      <w:marBottom w:val="0"/>
      <w:divBdr>
        <w:top w:val="none" w:sz="0" w:space="0" w:color="auto"/>
        <w:left w:val="none" w:sz="0" w:space="0" w:color="auto"/>
        <w:bottom w:val="none" w:sz="0" w:space="0" w:color="auto"/>
        <w:right w:val="none" w:sz="0" w:space="0" w:color="auto"/>
      </w:divBdr>
      <w:divsChild>
        <w:div w:id="1175650978">
          <w:marLeft w:val="547"/>
          <w:marRight w:val="0"/>
          <w:marTop w:val="0"/>
          <w:marBottom w:val="0"/>
          <w:divBdr>
            <w:top w:val="none" w:sz="0" w:space="0" w:color="auto"/>
            <w:left w:val="none" w:sz="0" w:space="0" w:color="auto"/>
            <w:bottom w:val="none" w:sz="0" w:space="0" w:color="auto"/>
            <w:right w:val="none" w:sz="0" w:space="0" w:color="auto"/>
          </w:divBdr>
        </w:div>
      </w:divsChild>
    </w:div>
    <w:div w:id="487484374">
      <w:bodyDiv w:val="1"/>
      <w:marLeft w:val="0"/>
      <w:marRight w:val="0"/>
      <w:marTop w:val="0"/>
      <w:marBottom w:val="0"/>
      <w:divBdr>
        <w:top w:val="none" w:sz="0" w:space="0" w:color="auto"/>
        <w:left w:val="none" w:sz="0" w:space="0" w:color="auto"/>
        <w:bottom w:val="none" w:sz="0" w:space="0" w:color="auto"/>
        <w:right w:val="none" w:sz="0" w:space="0" w:color="auto"/>
      </w:divBdr>
    </w:div>
    <w:div w:id="544214837">
      <w:bodyDiv w:val="1"/>
      <w:marLeft w:val="0"/>
      <w:marRight w:val="0"/>
      <w:marTop w:val="0"/>
      <w:marBottom w:val="0"/>
      <w:divBdr>
        <w:top w:val="none" w:sz="0" w:space="0" w:color="auto"/>
        <w:left w:val="none" w:sz="0" w:space="0" w:color="auto"/>
        <w:bottom w:val="none" w:sz="0" w:space="0" w:color="auto"/>
        <w:right w:val="none" w:sz="0" w:space="0" w:color="auto"/>
      </w:divBdr>
    </w:div>
    <w:div w:id="550383298">
      <w:bodyDiv w:val="1"/>
      <w:marLeft w:val="0"/>
      <w:marRight w:val="0"/>
      <w:marTop w:val="0"/>
      <w:marBottom w:val="0"/>
      <w:divBdr>
        <w:top w:val="none" w:sz="0" w:space="0" w:color="auto"/>
        <w:left w:val="none" w:sz="0" w:space="0" w:color="auto"/>
        <w:bottom w:val="none" w:sz="0" w:space="0" w:color="auto"/>
        <w:right w:val="none" w:sz="0" w:space="0" w:color="auto"/>
      </w:divBdr>
      <w:divsChild>
        <w:div w:id="1382560148">
          <w:marLeft w:val="547"/>
          <w:marRight w:val="0"/>
          <w:marTop w:val="0"/>
          <w:marBottom w:val="0"/>
          <w:divBdr>
            <w:top w:val="none" w:sz="0" w:space="0" w:color="auto"/>
            <w:left w:val="none" w:sz="0" w:space="0" w:color="auto"/>
            <w:bottom w:val="none" w:sz="0" w:space="0" w:color="auto"/>
            <w:right w:val="none" w:sz="0" w:space="0" w:color="auto"/>
          </w:divBdr>
        </w:div>
      </w:divsChild>
    </w:div>
    <w:div w:id="607929146">
      <w:bodyDiv w:val="1"/>
      <w:marLeft w:val="0"/>
      <w:marRight w:val="0"/>
      <w:marTop w:val="0"/>
      <w:marBottom w:val="0"/>
      <w:divBdr>
        <w:top w:val="none" w:sz="0" w:space="0" w:color="auto"/>
        <w:left w:val="none" w:sz="0" w:space="0" w:color="auto"/>
        <w:bottom w:val="none" w:sz="0" w:space="0" w:color="auto"/>
        <w:right w:val="none" w:sz="0" w:space="0" w:color="auto"/>
      </w:divBdr>
      <w:divsChild>
        <w:div w:id="1032849796">
          <w:marLeft w:val="547"/>
          <w:marRight w:val="0"/>
          <w:marTop w:val="0"/>
          <w:marBottom w:val="0"/>
          <w:divBdr>
            <w:top w:val="none" w:sz="0" w:space="0" w:color="auto"/>
            <w:left w:val="none" w:sz="0" w:space="0" w:color="auto"/>
            <w:bottom w:val="none" w:sz="0" w:space="0" w:color="auto"/>
            <w:right w:val="none" w:sz="0" w:space="0" w:color="auto"/>
          </w:divBdr>
        </w:div>
      </w:divsChild>
    </w:div>
    <w:div w:id="649869381">
      <w:bodyDiv w:val="1"/>
      <w:marLeft w:val="0"/>
      <w:marRight w:val="0"/>
      <w:marTop w:val="0"/>
      <w:marBottom w:val="0"/>
      <w:divBdr>
        <w:top w:val="none" w:sz="0" w:space="0" w:color="auto"/>
        <w:left w:val="none" w:sz="0" w:space="0" w:color="auto"/>
        <w:bottom w:val="none" w:sz="0" w:space="0" w:color="auto"/>
        <w:right w:val="none" w:sz="0" w:space="0" w:color="auto"/>
      </w:divBdr>
      <w:divsChild>
        <w:div w:id="1360862214">
          <w:marLeft w:val="547"/>
          <w:marRight w:val="0"/>
          <w:marTop w:val="0"/>
          <w:marBottom w:val="0"/>
          <w:divBdr>
            <w:top w:val="none" w:sz="0" w:space="0" w:color="auto"/>
            <w:left w:val="none" w:sz="0" w:space="0" w:color="auto"/>
            <w:bottom w:val="none" w:sz="0" w:space="0" w:color="auto"/>
            <w:right w:val="none" w:sz="0" w:space="0" w:color="auto"/>
          </w:divBdr>
        </w:div>
      </w:divsChild>
    </w:div>
    <w:div w:id="962079402">
      <w:bodyDiv w:val="1"/>
      <w:marLeft w:val="0"/>
      <w:marRight w:val="0"/>
      <w:marTop w:val="0"/>
      <w:marBottom w:val="0"/>
      <w:divBdr>
        <w:top w:val="none" w:sz="0" w:space="0" w:color="auto"/>
        <w:left w:val="none" w:sz="0" w:space="0" w:color="auto"/>
        <w:bottom w:val="none" w:sz="0" w:space="0" w:color="auto"/>
        <w:right w:val="none" w:sz="0" w:space="0" w:color="auto"/>
      </w:divBdr>
    </w:div>
    <w:div w:id="1164659499">
      <w:bodyDiv w:val="1"/>
      <w:marLeft w:val="0"/>
      <w:marRight w:val="0"/>
      <w:marTop w:val="0"/>
      <w:marBottom w:val="0"/>
      <w:divBdr>
        <w:top w:val="none" w:sz="0" w:space="0" w:color="auto"/>
        <w:left w:val="none" w:sz="0" w:space="0" w:color="auto"/>
        <w:bottom w:val="none" w:sz="0" w:space="0" w:color="auto"/>
        <w:right w:val="none" w:sz="0" w:space="0" w:color="auto"/>
      </w:divBdr>
      <w:divsChild>
        <w:div w:id="1814827358">
          <w:marLeft w:val="547"/>
          <w:marRight w:val="0"/>
          <w:marTop w:val="0"/>
          <w:marBottom w:val="0"/>
          <w:divBdr>
            <w:top w:val="none" w:sz="0" w:space="0" w:color="auto"/>
            <w:left w:val="none" w:sz="0" w:space="0" w:color="auto"/>
            <w:bottom w:val="none" w:sz="0" w:space="0" w:color="auto"/>
            <w:right w:val="none" w:sz="0" w:space="0" w:color="auto"/>
          </w:divBdr>
        </w:div>
      </w:divsChild>
    </w:div>
    <w:div w:id="1762137855">
      <w:bodyDiv w:val="1"/>
      <w:marLeft w:val="0"/>
      <w:marRight w:val="0"/>
      <w:marTop w:val="0"/>
      <w:marBottom w:val="0"/>
      <w:divBdr>
        <w:top w:val="none" w:sz="0" w:space="0" w:color="auto"/>
        <w:left w:val="none" w:sz="0" w:space="0" w:color="auto"/>
        <w:bottom w:val="none" w:sz="0" w:space="0" w:color="auto"/>
        <w:right w:val="none" w:sz="0" w:space="0" w:color="auto"/>
      </w:divBdr>
      <w:divsChild>
        <w:div w:id="427389262">
          <w:marLeft w:val="547"/>
          <w:marRight w:val="0"/>
          <w:marTop w:val="0"/>
          <w:marBottom w:val="0"/>
          <w:divBdr>
            <w:top w:val="none" w:sz="0" w:space="0" w:color="auto"/>
            <w:left w:val="none" w:sz="0" w:space="0" w:color="auto"/>
            <w:bottom w:val="none" w:sz="0" w:space="0" w:color="auto"/>
            <w:right w:val="none" w:sz="0" w:space="0" w:color="auto"/>
          </w:divBdr>
        </w:div>
      </w:divsChild>
    </w:div>
    <w:div w:id="2010982777">
      <w:bodyDiv w:val="1"/>
      <w:marLeft w:val="0"/>
      <w:marRight w:val="0"/>
      <w:marTop w:val="45"/>
      <w:marBottom w:val="45"/>
      <w:divBdr>
        <w:top w:val="none" w:sz="0" w:space="0" w:color="auto"/>
        <w:left w:val="none" w:sz="0" w:space="0" w:color="auto"/>
        <w:bottom w:val="none" w:sz="0" w:space="0" w:color="auto"/>
        <w:right w:val="none" w:sz="0" w:space="0" w:color="auto"/>
      </w:divBdr>
      <w:divsChild>
        <w:div w:id="309286954">
          <w:marLeft w:val="0"/>
          <w:marRight w:val="0"/>
          <w:marTop w:val="0"/>
          <w:marBottom w:val="0"/>
          <w:divBdr>
            <w:top w:val="none" w:sz="0" w:space="0" w:color="auto"/>
            <w:left w:val="none" w:sz="0" w:space="0" w:color="auto"/>
            <w:bottom w:val="none" w:sz="0" w:space="0" w:color="auto"/>
            <w:right w:val="none" w:sz="0" w:space="0" w:color="auto"/>
          </w:divBdr>
          <w:divsChild>
            <w:div w:id="1061172208">
              <w:marLeft w:val="0"/>
              <w:marRight w:val="0"/>
              <w:marTop w:val="0"/>
              <w:marBottom w:val="0"/>
              <w:divBdr>
                <w:top w:val="none" w:sz="0" w:space="0" w:color="auto"/>
                <w:left w:val="none" w:sz="0" w:space="0" w:color="auto"/>
                <w:bottom w:val="none" w:sz="0" w:space="0" w:color="auto"/>
                <w:right w:val="none" w:sz="0" w:space="0" w:color="auto"/>
              </w:divBdr>
              <w:divsChild>
                <w:div w:id="930969400">
                  <w:marLeft w:val="0"/>
                  <w:marRight w:val="0"/>
                  <w:marTop w:val="0"/>
                  <w:marBottom w:val="0"/>
                  <w:divBdr>
                    <w:top w:val="none" w:sz="0" w:space="0" w:color="auto"/>
                    <w:left w:val="none" w:sz="0" w:space="0" w:color="auto"/>
                    <w:bottom w:val="none" w:sz="0" w:space="0" w:color="auto"/>
                    <w:right w:val="none" w:sz="0" w:space="0" w:color="auto"/>
                  </w:divBdr>
                  <w:divsChild>
                    <w:div w:id="136847394">
                      <w:marLeft w:val="0"/>
                      <w:marRight w:val="0"/>
                      <w:marTop w:val="0"/>
                      <w:marBottom w:val="0"/>
                      <w:divBdr>
                        <w:top w:val="none" w:sz="0" w:space="0" w:color="auto"/>
                        <w:left w:val="none" w:sz="0" w:space="0" w:color="auto"/>
                        <w:bottom w:val="none" w:sz="0" w:space="0" w:color="auto"/>
                        <w:right w:val="none" w:sz="0" w:space="0" w:color="auto"/>
                      </w:divBdr>
                      <w:divsChild>
                        <w:div w:id="612129518">
                          <w:marLeft w:val="0"/>
                          <w:marRight w:val="0"/>
                          <w:marTop w:val="315"/>
                          <w:marBottom w:val="0"/>
                          <w:divBdr>
                            <w:top w:val="none" w:sz="0" w:space="0" w:color="auto"/>
                            <w:left w:val="none" w:sz="0" w:space="0" w:color="auto"/>
                            <w:bottom w:val="none" w:sz="0" w:space="0" w:color="auto"/>
                            <w:right w:val="none" w:sz="0" w:space="0" w:color="auto"/>
                          </w:divBdr>
                          <w:divsChild>
                            <w:div w:id="1646398569">
                              <w:marLeft w:val="1980"/>
                              <w:marRight w:val="3810"/>
                              <w:marTop w:val="0"/>
                              <w:marBottom w:val="0"/>
                              <w:divBdr>
                                <w:top w:val="none" w:sz="0" w:space="0" w:color="auto"/>
                                <w:left w:val="none" w:sz="0" w:space="0" w:color="auto"/>
                                <w:bottom w:val="none" w:sz="0" w:space="0" w:color="auto"/>
                                <w:right w:val="none" w:sz="0" w:space="0" w:color="auto"/>
                              </w:divBdr>
                              <w:divsChild>
                                <w:div w:id="876889335">
                                  <w:marLeft w:val="0"/>
                                  <w:marRight w:val="0"/>
                                  <w:marTop w:val="0"/>
                                  <w:marBottom w:val="0"/>
                                  <w:divBdr>
                                    <w:top w:val="none" w:sz="0" w:space="0" w:color="auto"/>
                                    <w:left w:val="none" w:sz="0" w:space="0" w:color="auto"/>
                                    <w:bottom w:val="none" w:sz="0" w:space="0" w:color="auto"/>
                                    <w:right w:val="none" w:sz="0" w:space="0" w:color="auto"/>
                                  </w:divBdr>
                                  <w:divsChild>
                                    <w:div w:id="1377703815">
                                      <w:marLeft w:val="0"/>
                                      <w:marRight w:val="0"/>
                                      <w:marTop w:val="0"/>
                                      <w:marBottom w:val="0"/>
                                      <w:divBdr>
                                        <w:top w:val="none" w:sz="0" w:space="0" w:color="auto"/>
                                        <w:left w:val="none" w:sz="0" w:space="0" w:color="auto"/>
                                        <w:bottom w:val="none" w:sz="0" w:space="0" w:color="auto"/>
                                        <w:right w:val="none" w:sz="0" w:space="0" w:color="auto"/>
                                      </w:divBdr>
                                      <w:divsChild>
                                        <w:div w:id="1861509122">
                                          <w:marLeft w:val="0"/>
                                          <w:marRight w:val="0"/>
                                          <w:marTop w:val="0"/>
                                          <w:marBottom w:val="0"/>
                                          <w:divBdr>
                                            <w:top w:val="none" w:sz="0" w:space="0" w:color="auto"/>
                                            <w:left w:val="none" w:sz="0" w:space="0" w:color="auto"/>
                                            <w:bottom w:val="none" w:sz="0" w:space="0" w:color="auto"/>
                                            <w:right w:val="none" w:sz="0" w:space="0" w:color="auto"/>
                                          </w:divBdr>
                                          <w:divsChild>
                                            <w:div w:id="373046439">
                                              <w:marLeft w:val="0"/>
                                              <w:marRight w:val="0"/>
                                              <w:marTop w:val="0"/>
                                              <w:marBottom w:val="0"/>
                                              <w:divBdr>
                                                <w:top w:val="none" w:sz="0" w:space="0" w:color="auto"/>
                                                <w:left w:val="none" w:sz="0" w:space="0" w:color="auto"/>
                                                <w:bottom w:val="none" w:sz="0" w:space="0" w:color="auto"/>
                                                <w:right w:val="none" w:sz="0" w:space="0" w:color="auto"/>
                                              </w:divBdr>
                                              <w:divsChild>
                                                <w:div w:id="650905381">
                                                  <w:marLeft w:val="0"/>
                                                  <w:marRight w:val="0"/>
                                                  <w:marTop w:val="0"/>
                                                  <w:marBottom w:val="0"/>
                                                  <w:divBdr>
                                                    <w:top w:val="none" w:sz="0" w:space="0" w:color="auto"/>
                                                    <w:left w:val="none" w:sz="0" w:space="0" w:color="auto"/>
                                                    <w:bottom w:val="none" w:sz="0" w:space="0" w:color="auto"/>
                                                    <w:right w:val="none" w:sz="0" w:space="0" w:color="auto"/>
                                                  </w:divBdr>
                                                  <w:divsChild>
                                                    <w:div w:id="20909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QuickStyle" Target="diagrams/quickStyle1.xml"/><Relationship Id="rId26" Type="http://schemas.openxmlformats.org/officeDocument/2006/relationships/image" Target="media/image6.png"/><Relationship Id="rId39" Type="http://schemas.openxmlformats.org/officeDocument/2006/relationships/hyperlink" Target="http://grants.nih.gov/grants/policy/coc/appl_intramural.htm"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yperlink" Target="http://grants.nih.gov/grants/policy/coc/appl_extramural.htm" TargetMode="External"/><Relationship Id="rId42" Type="http://schemas.openxmlformats.org/officeDocument/2006/relationships/hyperlink" Target="http://grants.nih.gov/grants/policy/coc/contacts.htm" TargetMode="External"/><Relationship Id="rId47" Type="http://schemas.openxmlformats.org/officeDocument/2006/relationships/hyperlink" Target="http://grants.nih.gov/grants/policy/coc/contacts.htm" TargetMode="External"/><Relationship Id="rId50" Type="http://schemas.openxmlformats.org/officeDocument/2006/relationships/hyperlink" Target="http://grants.nih.gov/grants/policy/coc/contacts.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image" Target="media/image5.png"/><Relationship Id="rId33" Type="http://schemas.openxmlformats.org/officeDocument/2006/relationships/hyperlink" Target="http://www.hhs.gov/ohrp/archive/irb/irb_chapter3.htm" TargetMode="External"/><Relationship Id="rId38" Type="http://schemas.openxmlformats.org/officeDocument/2006/relationships/hyperlink" Target="http://grants.nih.gov/grants/policy/coc/appl_extramural.htm" TargetMode="External"/><Relationship Id="rId46" Type="http://schemas.openxmlformats.org/officeDocument/2006/relationships/hyperlink" Target="http://grants.nih.gov/grants/policy/coc/contacts.htm"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7.xml"/><Relationship Id="rId41" Type="http://schemas.openxmlformats.org/officeDocument/2006/relationships/hyperlink" Target="http://grants.nih.gov/grants/policy/coc/contacts.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http://grants.nih.gov/grants/policy/coc/cd_policy.htm" TargetMode="External"/><Relationship Id="rId37" Type="http://schemas.openxmlformats.org/officeDocument/2006/relationships/hyperlink" Target="http://grants.nih.gov/grants/policy/coc/contacts.htm" TargetMode="External"/><Relationship Id="rId40" Type="http://schemas.openxmlformats.org/officeDocument/2006/relationships/footer" Target="footer10.xml"/><Relationship Id="rId45" Type="http://schemas.openxmlformats.org/officeDocument/2006/relationships/hyperlink" Target="http://grants.nih.gov/grants/policy/coc/contacts.ht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footer" Target="footer6.xml"/><Relationship Id="rId36" Type="http://schemas.openxmlformats.org/officeDocument/2006/relationships/hyperlink" Target="http://grants.nih.gov/grants/policy/coc/faqs.htm" TargetMode="External"/><Relationship Id="rId49" Type="http://schemas.openxmlformats.org/officeDocument/2006/relationships/hyperlink" Target="http://grants.nih.gov/grants/policy/coc/contacts.htm" TargetMode="External"/><Relationship Id="rId10" Type="http://schemas.openxmlformats.org/officeDocument/2006/relationships/header" Target="header2.xml"/><Relationship Id="rId19" Type="http://schemas.openxmlformats.org/officeDocument/2006/relationships/diagramColors" Target="diagrams/colors1.xml"/><Relationship Id="rId31" Type="http://schemas.openxmlformats.org/officeDocument/2006/relationships/footer" Target="footer9.xml"/><Relationship Id="rId44" Type="http://schemas.openxmlformats.org/officeDocument/2006/relationships/hyperlink" Target="http://grants.nih.gov/grants/policy/coc/contacts.htm" TargetMode="External"/><Relationship Id="rId52"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yperlink" Target="http://grants.nih.gov/grants/policy/coc/appl_intramural.htm" TargetMode="External"/><Relationship Id="rId43" Type="http://schemas.openxmlformats.org/officeDocument/2006/relationships/hyperlink" Target="http://grants.nih.gov/grants/policy/coc/contacts.htm" TargetMode="External"/><Relationship Id="rId48" Type="http://schemas.openxmlformats.org/officeDocument/2006/relationships/hyperlink" Target="http://grants.nih.gov/grants/policy/coc/contacts.htm" TargetMode="External"/><Relationship Id="rId8" Type="http://schemas.openxmlformats.org/officeDocument/2006/relationships/endnotes" Target="endnotes.xml"/><Relationship Id="rId51"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grants.nih.gov/grants/policy/coc/index.htm" TargetMode="External"/><Relationship Id="rId2" Type="http://schemas.openxmlformats.org/officeDocument/2006/relationships/hyperlink" Target="http://www.uwex.edu/ces/pdande/evaluation/evallogicmodel.html" TargetMode="External"/><Relationship Id="rId1" Type="http://schemas.openxmlformats.org/officeDocument/2006/relationships/hyperlink" Target="http://www.wmich.edu/evalctr/archive_checklists/kec_feb07.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9627B-5C97-4255-8583-93CB2F1B11C6}" type="doc">
      <dgm:prSet loTypeId="urn:microsoft.com/office/officeart/2005/8/layout/process2" loCatId="process" qsTypeId="urn:microsoft.com/office/officeart/2005/8/quickstyle/simple1" qsCatId="simple" csTypeId="urn:microsoft.com/office/officeart/2005/8/colors/accent1_2" csCatId="accent1" phldr="1"/>
      <dgm:spPr/>
    </dgm:pt>
    <dgm:pt modelId="{0743CB42-B60A-471B-8DC7-4BC06C68C734}">
      <dgm:prSet phldrT="[Text]"/>
      <dgm:spPr>
        <a:xfrm>
          <a:off x="2293629" y="1571"/>
          <a:ext cx="1356341" cy="465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Establishment</a:t>
          </a:r>
          <a:endParaRPr lang="en-US" dirty="0">
            <a:solidFill>
              <a:sysClr val="window" lastClr="FFFFFF"/>
            </a:solidFill>
            <a:latin typeface="Calibri"/>
            <a:ea typeface="+mn-ea"/>
            <a:cs typeface="+mn-cs"/>
          </a:endParaRPr>
        </a:p>
      </dgm:t>
    </dgm:pt>
    <dgm:pt modelId="{E91AC659-FEBD-4B27-9E29-1E7E077F3A20}" type="parTrans" cxnId="{8486FF51-4FBA-498C-B8E5-7A5A9612B362}">
      <dgm:prSet/>
      <dgm:spPr/>
      <dgm:t>
        <a:bodyPr/>
        <a:lstStyle/>
        <a:p>
          <a:endParaRPr lang="en-US"/>
        </a:p>
      </dgm:t>
    </dgm:pt>
    <dgm:pt modelId="{F2F9D2E1-4091-4C18-B9CB-F19A09719659}" type="sibTrans" cxnId="{8486FF51-4FBA-498C-B8E5-7A5A9612B362}">
      <dgm:prSet/>
      <dgm:spPr>
        <a:xfrm rot="5400000">
          <a:off x="2884477" y="478934"/>
          <a:ext cx="174645" cy="209574"/>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10E6809-C4E1-4C6B-AEB6-BDB3CBF642C2}">
      <dgm:prSet phldrT="[Text]"/>
      <dgm:spPr>
        <a:xfrm>
          <a:off x="2293629" y="700152"/>
          <a:ext cx="1356341" cy="465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Reporting</a:t>
          </a:r>
          <a:endParaRPr lang="en-US" dirty="0">
            <a:solidFill>
              <a:sysClr val="window" lastClr="FFFFFF"/>
            </a:solidFill>
            <a:latin typeface="Calibri"/>
            <a:ea typeface="+mn-ea"/>
            <a:cs typeface="+mn-cs"/>
          </a:endParaRPr>
        </a:p>
      </dgm:t>
    </dgm:pt>
    <dgm:pt modelId="{A2AFEAB0-7F7C-4C96-99C1-A39657C0D8C7}" type="parTrans" cxnId="{E024D973-0CF4-4347-A515-2748AC5EB83E}">
      <dgm:prSet/>
      <dgm:spPr/>
      <dgm:t>
        <a:bodyPr/>
        <a:lstStyle/>
        <a:p>
          <a:endParaRPr lang="en-US"/>
        </a:p>
      </dgm:t>
    </dgm:pt>
    <dgm:pt modelId="{3226906D-379C-4116-A3BC-40C5CB9E1299}" type="sibTrans" cxnId="{E024D973-0CF4-4347-A515-2748AC5EB83E}">
      <dgm:prSet/>
      <dgm:spPr>
        <a:xfrm rot="5400000">
          <a:off x="2884477" y="1177515"/>
          <a:ext cx="174645" cy="209574"/>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73D52089-3861-418C-842E-8FEE3ABD6406}">
      <dgm:prSet phldrT="[Text]"/>
      <dgm:spPr>
        <a:xfrm>
          <a:off x="2293629" y="1398732"/>
          <a:ext cx="1356341" cy="465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Acceptance and Processing</a:t>
          </a:r>
        </a:p>
      </dgm:t>
    </dgm:pt>
    <dgm:pt modelId="{87408128-EAFF-48CC-B7E3-FB5259470903}" type="parTrans" cxnId="{C51621C1-8ABF-444E-97C2-3C8B8FD70597}">
      <dgm:prSet/>
      <dgm:spPr/>
      <dgm:t>
        <a:bodyPr/>
        <a:lstStyle/>
        <a:p>
          <a:endParaRPr lang="en-US"/>
        </a:p>
      </dgm:t>
    </dgm:pt>
    <dgm:pt modelId="{C29EEF92-72AA-4479-A550-E6E0331EF040}" type="sibTrans" cxnId="{C51621C1-8ABF-444E-97C2-3C8B8FD70597}">
      <dgm:prSet/>
      <dgm:spPr>
        <a:xfrm rot="5400000">
          <a:off x="2884477" y="1876095"/>
          <a:ext cx="174645" cy="209574"/>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2B51A0F9-E4BF-4158-95F2-52822D5BC7C4}">
      <dgm:prSet phldrT="[Text]"/>
      <dgm:spPr>
        <a:xfrm>
          <a:off x="2293629" y="2097312"/>
          <a:ext cx="1356341" cy="465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Review and Information Sharing</a:t>
          </a:r>
        </a:p>
      </dgm:t>
    </dgm:pt>
    <dgm:pt modelId="{E47112BA-A4D9-4D74-8114-E45D9BF8400F}" type="parTrans" cxnId="{EE53F47B-F963-47F9-A4DF-9CB2A92EE5C3}">
      <dgm:prSet/>
      <dgm:spPr/>
      <dgm:t>
        <a:bodyPr/>
        <a:lstStyle/>
        <a:p>
          <a:endParaRPr lang="en-US"/>
        </a:p>
      </dgm:t>
    </dgm:pt>
    <dgm:pt modelId="{959C592E-5B3B-426F-A17B-7859E9DEE910}" type="sibTrans" cxnId="{EE53F47B-F963-47F9-A4DF-9CB2A92EE5C3}">
      <dgm:prSet/>
      <dgm:spPr>
        <a:xfrm rot="5400000">
          <a:off x="2884477" y="2574675"/>
          <a:ext cx="174645" cy="209574"/>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2475B51A-CD7A-4F41-9185-A7E03BCA113B}">
      <dgm:prSet phldrT="[Text]"/>
      <dgm:spPr>
        <a:xfrm>
          <a:off x="2293629" y="2795892"/>
          <a:ext cx="1356341" cy="465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Corrective Action</a:t>
          </a:r>
        </a:p>
      </dgm:t>
    </dgm:pt>
    <dgm:pt modelId="{96712B08-959A-4F8D-9239-955A34DABBFA}" type="parTrans" cxnId="{4FA305EB-2A81-44B5-8364-FC40239A1CD6}">
      <dgm:prSet/>
      <dgm:spPr/>
      <dgm:t>
        <a:bodyPr/>
        <a:lstStyle/>
        <a:p>
          <a:endParaRPr lang="en-US"/>
        </a:p>
      </dgm:t>
    </dgm:pt>
    <dgm:pt modelId="{AF5D6347-D16A-40B0-BF75-76429F552D8C}" type="sibTrans" cxnId="{4FA305EB-2A81-44B5-8364-FC40239A1CD6}">
      <dgm:prSet/>
      <dgm:spPr>
        <a:xfrm rot="5400000">
          <a:off x="2884477" y="3273255"/>
          <a:ext cx="174645" cy="209574"/>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95EE05A-595D-42E2-A847-C7EDCB8D79E0}">
      <dgm:prSet phldrT="[Text]"/>
      <dgm:spPr>
        <a:xfrm>
          <a:off x="2293629" y="3494473"/>
          <a:ext cx="1356341" cy="465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Feedback</a:t>
          </a:r>
        </a:p>
      </dgm:t>
    </dgm:pt>
    <dgm:pt modelId="{FA94E4B3-F607-4027-BDDF-E54FD3475D97}" type="parTrans" cxnId="{E6AD70AA-3981-4737-A05F-AD7E5E9D9785}">
      <dgm:prSet/>
      <dgm:spPr/>
      <dgm:t>
        <a:bodyPr/>
        <a:lstStyle/>
        <a:p>
          <a:endParaRPr lang="en-US"/>
        </a:p>
      </dgm:t>
    </dgm:pt>
    <dgm:pt modelId="{7C6A93D7-CAFD-4F47-94B1-3BCCFDE84DFD}" type="sibTrans" cxnId="{E6AD70AA-3981-4737-A05F-AD7E5E9D9785}">
      <dgm:prSet/>
      <dgm:spPr/>
      <dgm:t>
        <a:bodyPr/>
        <a:lstStyle/>
        <a:p>
          <a:endParaRPr lang="en-US"/>
        </a:p>
      </dgm:t>
    </dgm:pt>
    <dgm:pt modelId="{1E883F0D-9A86-4A44-88C0-915C54248AE6}" type="pres">
      <dgm:prSet presAssocID="{5E59627B-5C97-4255-8583-93CB2F1B11C6}" presName="linearFlow" presStyleCnt="0">
        <dgm:presLayoutVars>
          <dgm:resizeHandles val="exact"/>
        </dgm:presLayoutVars>
      </dgm:prSet>
      <dgm:spPr/>
    </dgm:pt>
    <dgm:pt modelId="{B4FB56A5-C9F1-4C59-983D-C1C52CC208E1}" type="pres">
      <dgm:prSet presAssocID="{0743CB42-B60A-471B-8DC7-4BC06C68C734}"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3E3CA126-91B5-4AB2-B6DD-AB91C28692CB}" type="pres">
      <dgm:prSet presAssocID="{F2F9D2E1-4091-4C18-B9CB-F19A09719659}" presName="sibTrans" presStyleLbl="sibTrans2D1" presStyleIdx="0" presStyleCnt="5"/>
      <dgm:spPr>
        <a:prstGeom prst="rightArrow">
          <a:avLst>
            <a:gd name="adj1" fmla="val 60000"/>
            <a:gd name="adj2" fmla="val 50000"/>
          </a:avLst>
        </a:prstGeom>
      </dgm:spPr>
      <dgm:t>
        <a:bodyPr/>
        <a:lstStyle/>
        <a:p>
          <a:endParaRPr lang="en-US"/>
        </a:p>
      </dgm:t>
    </dgm:pt>
    <dgm:pt modelId="{0AF40ED7-ED89-42BD-9C22-E30520742832}" type="pres">
      <dgm:prSet presAssocID="{F2F9D2E1-4091-4C18-B9CB-F19A09719659}" presName="connectorText" presStyleLbl="sibTrans2D1" presStyleIdx="0" presStyleCnt="5"/>
      <dgm:spPr/>
      <dgm:t>
        <a:bodyPr/>
        <a:lstStyle/>
        <a:p>
          <a:endParaRPr lang="en-US"/>
        </a:p>
      </dgm:t>
    </dgm:pt>
    <dgm:pt modelId="{05B046FE-F295-467E-BC09-4E129DAF6EFE}" type="pres">
      <dgm:prSet presAssocID="{910E6809-C4E1-4C6B-AEB6-BDB3CBF642C2}" presName="node" presStyleLbl="node1" presStyleIdx="1" presStyleCnt="6">
        <dgm:presLayoutVars>
          <dgm:bulletEnabled val="1"/>
        </dgm:presLayoutVars>
      </dgm:prSet>
      <dgm:spPr>
        <a:prstGeom prst="roundRect">
          <a:avLst>
            <a:gd name="adj" fmla="val 10000"/>
          </a:avLst>
        </a:prstGeom>
      </dgm:spPr>
      <dgm:t>
        <a:bodyPr/>
        <a:lstStyle/>
        <a:p>
          <a:endParaRPr lang="en-US"/>
        </a:p>
      </dgm:t>
    </dgm:pt>
    <dgm:pt modelId="{6A975CC7-1801-4D52-859F-1D0F50C1E84F}" type="pres">
      <dgm:prSet presAssocID="{3226906D-379C-4116-A3BC-40C5CB9E1299}" presName="sibTrans" presStyleLbl="sibTrans2D1" presStyleIdx="1" presStyleCnt="5"/>
      <dgm:spPr>
        <a:prstGeom prst="rightArrow">
          <a:avLst>
            <a:gd name="adj1" fmla="val 60000"/>
            <a:gd name="adj2" fmla="val 50000"/>
          </a:avLst>
        </a:prstGeom>
      </dgm:spPr>
      <dgm:t>
        <a:bodyPr/>
        <a:lstStyle/>
        <a:p>
          <a:endParaRPr lang="en-US"/>
        </a:p>
      </dgm:t>
    </dgm:pt>
    <dgm:pt modelId="{A14FE648-2807-4F80-85BC-4BF63667AAE7}" type="pres">
      <dgm:prSet presAssocID="{3226906D-379C-4116-A3BC-40C5CB9E1299}" presName="connectorText" presStyleLbl="sibTrans2D1" presStyleIdx="1" presStyleCnt="5"/>
      <dgm:spPr/>
      <dgm:t>
        <a:bodyPr/>
        <a:lstStyle/>
        <a:p>
          <a:endParaRPr lang="en-US"/>
        </a:p>
      </dgm:t>
    </dgm:pt>
    <dgm:pt modelId="{F84AD36C-DB92-4BF7-828B-65E09A4D11B2}" type="pres">
      <dgm:prSet presAssocID="{73D52089-3861-418C-842E-8FEE3ABD6406}" presName="node" presStyleLbl="node1" presStyleIdx="2" presStyleCnt="6">
        <dgm:presLayoutVars>
          <dgm:bulletEnabled val="1"/>
        </dgm:presLayoutVars>
      </dgm:prSet>
      <dgm:spPr>
        <a:prstGeom prst="roundRect">
          <a:avLst>
            <a:gd name="adj" fmla="val 10000"/>
          </a:avLst>
        </a:prstGeom>
      </dgm:spPr>
      <dgm:t>
        <a:bodyPr/>
        <a:lstStyle/>
        <a:p>
          <a:endParaRPr lang="en-US"/>
        </a:p>
      </dgm:t>
    </dgm:pt>
    <dgm:pt modelId="{EBC3B20C-9AED-4482-8019-B79594A3E3A2}" type="pres">
      <dgm:prSet presAssocID="{C29EEF92-72AA-4479-A550-E6E0331EF040}" presName="sibTrans" presStyleLbl="sibTrans2D1" presStyleIdx="2" presStyleCnt="5"/>
      <dgm:spPr>
        <a:prstGeom prst="rightArrow">
          <a:avLst>
            <a:gd name="adj1" fmla="val 60000"/>
            <a:gd name="adj2" fmla="val 50000"/>
          </a:avLst>
        </a:prstGeom>
      </dgm:spPr>
      <dgm:t>
        <a:bodyPr/>
        <a:lstStyle/>
        <a:p>
          <a:endParaRPr lang="en-US"/>
        </a:p>
      </dgm:t>
    </dgm:pt>
    <dgm:pt modelId="{9D93724C-26E7-4EEB-9136-90CC1F245074}" type="pres">
      <dgm:prSet presAssocID="{C29EEF92-72AA-4479-A550-E6E0331EF040}" presName="connectorText" presStyleLbl="sibTrans2D1" presStyleIdx="2" presStyleCnt="5"/>
      <dgm:spPr/>
      <dgm:t>
        <a:bodyPr/>
        <a:lstStyle/>
        <a:p>
          <a:endParaRPr lang="en-US"/>
        </a:p>
      </dgm:t>
    </dgm:pt>
    <dgm:pt modelId="{400C03D1-326A-4193-A6A0-232B596AF3F8}" type="pres">
      <dgm:prSet presAssocID="{2B51A0F9-E4BF-4158-95F2-52822D5BC7C4}" presName="node" presStyleLbl="node1" presStyleIdx="3" presStyleCnt="6">
        <dgm:presLayoutVars>
          <dgm:bulletEnabled val="1"/>
        </dgm:presLayoutVars>
      </dgm:prSet>
      <dgm:spPr>
        <a:prstGeom prst="roundRect">
          <a:avLst>
            <a:gd name="adj" fmla="val 10000"/>
          </a:avLst>
        </a:prstGeom>
      </dgm:spPr>
      <dgm:t>
        <a:bodyPr/>
        <a:lstStyle/>
        <a:p>
          <a:endParaRPr lang="en-US"/>
        </a:p>
      </dgm:t>
    </dgm:pt>
    <dgm:pt modelId="{6DB20DEB-EB52-4CAF-A5D1-09CDEC600214}" type="pres">
      <dgm:prSet presAssocID="{959C592E-5B3B-426F-A17B-7859E9DEE910}" presName="sibTrans" presStyleLbl="sibTrans2D1" presStyleIdx="3" presStyleCnt="5"/>
      <dgm:spPr>
        <a:prstGeom prst="rightArrow">
          <a:avLst>
            <a:gd name="adj1" fmla="val 60000"/>
            <a:gd name="adj2" fmla="val 50000"/>
          </a:avLst>
        </a:prstGeom>
      </dgm:spPr>
      <dgm:t>
        <a:bodyPr/>
        <a:lstStyle/>
        <a:p>
          <a:endParaRPr lang="en-US"/>
        </a:p>
      </dgm:t>
    </dgm:pt>
    <dgm:pt modelId="{709BFF2B-E19C-4A01-8CF3-39C7488ABB96}" type="pres">
      <dgm:prSet presAssocID="{959C592E-5B3B-426F-A17B-7859E9DEE910}" presName="connectorText" presStyleLbl="sibTrans2D1" presStyleIdx="3" presStyleCnt="5"/>
      <dgm:spPr/>
      <dgm:t>
        <a:bodyPr/>
        <a:lstStyle/>
        <a:p>
          <a:endParaRPr lang="en-US"/>
        </a:p>
      </dgm:t>
    </dgm:pt>
    <dgm:pt modelId="{C17988C9-3B64-4E7D-9A45-25FF5EE62D21}" type="pres">
      <dgm:prSet presAssocID="{2475B51A-CD7A-4F41-9185-A7E03BCA113B}" presName="node" presStyleLbl="node1" presStyleIdx="4" presStyleCnt="6">
        <dgm:presLayoutVars>
          <dgm:bulletEnabled val="1"/>
        </dgm:presLayoutVars>
      </dgm:prSet>
      <dgm:spPr>
        <a:prstGeom prst="roundRect">
          <a:avLst>
            <a:gd name="adj" fmla="val 10000"/>
          </a:avLst>
        </a:prstGeom>
      </dgm:spPr>
      <dgm:t>
        <a:bodyPr/>
        <a:lstStyle/>
        <a:p>
          <a:endParaRPr lang="en-US"/>
        </a:p>
      </dgm:t>
    </dgm:pt>
    <dgm:pt modelId="{941387CA-54AC-4D21-9026-26F11E04B5C6}" type="pres">
      <dgm:prSet presAssocID="{AF5D6347-D16A-40B0-BF75-76429F552D8C}" presName="sibTrans" presStyleLbl="sibTrans2D1" presStyleIdx="4" presStyleCnt="5"/>
      <dgm:spPr>
        <a:prstGeom prst="rightArrow">
          <a:avLst>
            <a:gd name="adj1" fmla="val 60000"/>
            <a:gd name="adj2" fmla="val 50000"/>
          </a:avLst>
        </a:prstGeom>
      </dgm:spPr>
      <dgm:t>
        <a:bodyPr/>
        <a:lstStyle/>
        <a:p>
          <a:endParaRPr lang="en-US"/>
        </a:p>
      </dgm:t>
    </dgm:pt>
    <dgm:pt modelId="{4BE71BF1-D6C4-49E7-9447-3987935B4721}" type="pres">
      <dgm:prSet presAssocID="{AF5D6347-D16A-40B0-BF75-76429F552D8C}" presName="connectorText" presStyleLbl="sibTrans2D1" presStyleIdx="4" presStyleCnt="5"/>
      <dgm:spPr/>
      <dgm:t>
        <a:bodyPr/>
        <a:lstStyle/>
        <a:p>
          <a:endParaRPr lang="en-US"/>
        </a:p>
      </dgm:t>
    </dgm:pt>
    <dgm:pt modelId="{1E8AAC00-2F94-4C21-8176-8A3569EFA9C0}" type="pres">
      <dgm:prSet presAssocID="{395EE05A-595D-42E2-A847-C7EDCB8D79E0}"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Lst>
  <dgm:cxnLst>
    <dgm:cxn modelId="{E6AD70AA-3981-4737-A05F-AD7E5E9D9785}" srcId="{5E59627B-5C97-4255-8583-93CB2F1B11C6}" destId="{395EE05A-595D-42E2-A847-C7EDCB8D79E0}" srcOrd="5" destOrd="0" parTransId="{FA94E4B3-F607-4027-BDDF-E54FD3475D97}" sibTransId="{7C6A93D7-CAFD-4F47-94B1-3BCCFDE84DFD}"/>
    <dgm:cxn modelId="{09E610B2-E180-4259-B49D-FBCE26917F9C}" type="presOf" srcId="{F2F9D2E1-4091-4C18-B9CB-F19A09719659}" destId="{0AF40ED7-ED89-42BD-9C22-E30520742832}" srcOrd="1" destOrd="0" presId="urn:microsoft.com/office/officeart/2005/8/layout/process2"/>
    <dgm:cxn modelId="{0DA8C3AD-5F45-4C1E-9F43-AB169E332E3A}" type="presOf" srcId="{F2F9D2E1-4091-4C18-B9CB-F19A09719659}" destId="{3E3CA126-91B5-4AB2-B6DD-AB91C28692CB}" srcOrd="0" destOrd="0" presId="urn:microsoft.com/office/officeart/2005/8/layout/process2"/>
    <dgm:cxn modelId="{E024D973-0CF4-4347-A515-2748AC5EB83E}" srcId="{5E59627B-5C97-4255-8583-93CB2F1B11C6}" destId="{910E6809-C4E1-4C6B-AEB6-BDB3CBF642C2}" srcOrd="1" destOrd="0" parTransId="{A2AFEAB0-7F7C-4C96-99C1-A39657C0D8C7}" sibTransId="{3226906D-379C-4116-A3BC-40C5CB9E1299}"/>
    <dgm:cxn modelId="{C51621C1-8ABF-444E-97C2-3C8B8FD70597}" srcId="{5E59627B-5C97-4255-8583-93CB2F1B11C6}" destId="{73D52089-3861-418C-842E-8FEE3ABD6406}" srcOrd="2" destOrd="0" parTransId="{87408128-EAFF-48CC-B7E3-FB5259470903}" sibTransId="{C29EEF92-72AA-4479-A550-E6E0331EF040}"/>
    <dgm:cxn modelId="{F85D6E02-63D1-4410-8EC8-770C58DD7423}" type="presOf" srcId="{910E6809-C4E1-4C6B-AEB6-BDB3CBF642C2}" destId="{05B046FE-F295-467E-BC09-4E129DAF6EFE}" srcOrd="0" destOrd="0" presId="urn:microsoft.com/office/officeart/2005/8/layout/process2"/>
    <dgm:cxn modelId="{913C0356-0343-4420-92F0-0218656BD96C}" type="presOf" srcId="{AF5D6347-D16A-40B0-BF75-76429F552D8C}" destId="{4BE71BF1-D6C4-49E7-9447-3987935B4721}" srcOrd="1" destOrd="0" presId="urn:microsoft.com/office/officeart/2005/8/layout/process2"/>
    <dgm:cxn modelId="{02E30F69-2840-4EED-9CD1-6AC0F81B72F3}" type="presOf" srcId="{2B51A0F9-E4BF-4158-95F2-52822D5BC7C4}" destId="{400C03D1-326A-4193-A6A0-232B596AF3F8}" srcOrd="0" destOrd="0" presId="urn:microsoft.com/office/officeart/2005/8/layout/process2"/>
    <dgm:cxn modelId="{CCE13B90-74BD-402D-B1D4-26212F93EA22}" type="presOf" srcId="{3226906D-379C-4116-A3BC-40C5CB9E1299}" destId="{6A975CC7-1801-4D52-859F-1D0F50C1E84F}" srcOrd="0" destOrd="0" presId="urn:microsoft.com/office/officeart/2005/8/layout/process2"/>
    <dgm:cxn modelId="{8DC0C026-034E-4507-8201-EED2C784FB7A}" type="presOf" srcId="{5E59627B-5C97-4255-8583-93CB2F1B11C6}" destId="{1E883F0D-9A86-4A44-88C0-915C54248AE6}" srcOrd="0" destOrd="0" presId="urn:microsoft.com/office/officeart/2005/8/layout/process2"/>
    <dgm:cxn modelId="{AEBA401C-15E8-4B16-AA4F-AB996A0F9082}" type="presOf" srcId="{C29EEF92-72AA-4479-A550-E6E0331EF040}" destId="{9D93724C-26E7-4EEB-9136-90CC1F245074}" srcOrd="1" destOrd="0" presId="urn:microsoft.com/office/officeart/2005/8/layout/process2"/>
    <dgm:cxn modelId="{712832B7-07D9-40F4-A116-C79A826A4AAA}" type="presOf" srcId="{73D52089-3861-418C-842E-8FEE3ABD6406}" destId="{F84AD36C-DB92-4BF7-828B-65E09A4D11B2}" srcOrd="0" destOrd="0" presId="urn:microsoft.com/office/officeart/2005/8/layout/process2"/>
    <dgm:cxn modelId="{ED8BD84F-F77F-4793-9E99-885B81EB9997}" type="presOf" srcId="{3226906D-379C-4116-A3BC-40C5CB9E1299}" destId="{A14FE648-2807-4F80-85BC-4BF63667AAE7}" srcOrd="1" destOrd="0" presId="urn:microsoft.com/office/officeart/2005/8/layout/process2"/>
    <dgm:cxn modelId="{684EE593-9A37-471D-83F1-7F112197275F}" type="presOf" srcId="{0743CB42-B60A-471B-8DC7-4BC06C68C734}" destId="{B4FB56A5-C9F1-4C59-983D-C1C52CC208E1}" srcOrd="0" destOrd="0" presId="urn:microsoft.com/office/officeart/2005/8/layout/process2"/>
    <dgm:cxn modelId="{4FA305EB-2A81-44B5-8364-FC40239A1CD6}" srcId="{5E59627B-5C97-4255-8583-93CB2F1B11C6}" destId="{2475B51A-CD7A-4F41-9185-A7E03BCA113B}" srcOrd="4" destOrd="0" parTransId="{96712B08-959A-4F8D-9239-955A34DABBFA}" sibTransId="{AF5D6347-D16A-40B0-BF75-76429F552D8C}"/>
    <dgm:cxn modelId="{62848E63-47A3-4E82-B27C-78C88861E3C2}" type="presOf" srcId="{959C592E-5B3B-426F-A17B-7859E9DEE910}" destId="{709BFF2B-E19C-4A01-8CF3-39C7488ABB96}" srcOrd="1" destOrd="0" presId="urn:microsoft.com/office/officeart/2005/8/layout/process2"/>
    <dgm:cxn modelId="{380764DF-CAD4-478D-B082-8A2D54531DE0}" type="presOf" srcId="{C29EEF92-72AA-4479-A550-E6E0331EF040}" destId="{EBC3B20C-9AED-4482-8019-B79594A3E3A2}" srcOrd="0" destOrd="0" presId="urn:microsoft.com/office/officeart/2005/8/layout/process2"/>
    <dgm:cxn modelId="{C36E2748-2FB7-497F-B4BE-D4BC296E51EF}" type="presOf" srcId="{959C592E-5B3B-426F-A17B-7859E9DEE910}" destId="{6DB20DEB-EB52-4CAF-A5D1-09CDEC600214}" srcOrd="0" destOrd="0" presId="urn:microsoft.com/office/officeart/2005/8/layout/process2"/>
    <dgm:cxn modelId="{51CD340C-CDDE-4E44-8A35-B21627E0AECF}" type="presOf" srcId="{2475B51A-CD7A-4F41-9185-A7E03BCA113B}" destId="{C17988C9-3B64-4E7D-9A45-25FF5EE62D21}" srcOrd="0" destOrd="0" presId="urn:microsoft.com/office/officeart/2005/8/layout/process2"/>
    <dgm:cxn modelId="{F3A8AFC8-B324-4177-A0F2-6A2F55E431A4}" type="presOf" srcId="{395EE05A-595D-42E2-A847-C7EDCB8D79E0}" destId="{1E8AAC00-2F94-4C21-8176-8A3569EFA9C0}" srcOrd="0" destOrd="0" presId="urn:microsoft.com/office/officeart/2005/8/layout/process2"/>
    <dgm:cxn modelId="{8486FF51-4FBA-498C-B8E5-7A5A9612B362}" srcId="{5E59627B-5C97-4255-8583-93CB2F1B11C6}" destId="{0743CB42-B60A-471B-8DC7-4BC06C68C734}" srcOrd="0" destOrd="0" parTransId="{E91AC659-FEBD-4B27-9E29-1E7E077F3A20}" sibTransId="{F2F9D2E1-4091-4C18-B9CB-F19A09719659}"/>
    <dgm:cxn modelId="{EE53F47B-F963-47F9-A4DF-9CB2A92EE5C3}" srcId="{5E59627B-5C97-4255-8583-93CB2F1B11C6}" destId="{2B51A0F9-E4BF-4158-95F2-52822D5BC7C4}" srcOrd="3" destOrd="0" parTransId="{E47112BA-A4D9-4D74-8114-E45D9BF8400F}" sibTransId="{959C592E-5B3B-426F-A17B-7859E9DEE910}"/>
    <dgm:cxn modelId="{342EE6DA-2BEE-43A3-955D-43F3E0EB5CC2}" type="presOf" srcId="{AF5D6347-D16A-40B0-BF75-76429F552D8C}" destId="{941387CA-54AC-4D21-9026-26F11E04B5C6}" srcOrd="0" destOrd="0" presId="urn:microsoft.com/office/officeart/2005/8/layout/process2"/>
    <dgm:cxn modelId="{317A94B0-9486-447C-B8FD-900FFFA442D2}" type="presParOf" srcId="{1E883F0D-9A86-4A44-88C0-915C54248AE6}" destId="{B4FB56A5-C9F1-4C59-983D-C1C52CC208E1}" srcOrd="0" destOrd="0" presId="urn:microsoft.com/office/officeart/2005/8/layout/process2"/>
    <dgm:cxn modelId="{93027BCF-D3FD-46BB-B335-69957F2BF191}" type="presParOf" srcId="{1E883F0D-9A86-4A44-88C0-915C54248AE6}" destId="{3E3CA126-91B5-4AB2-B6DD-AB91C28692CB}" srcOrd="1" destOrd="0" presId="urn:microsoft.com/office/officeart/2005/8/layout/process2"/>
    <dgm:cxn modelId="{8BC4A083-6862-405E-8801-FF37C35EFAF1}" type="presParOf" srcId="{3E3CA126-91B5-4AB2-B6DD-AB91C28692CB}" destId="{0AF40ED7-ED89-42BD-9C22-E30520742832}" srcOrd="0" destOrd="0" presId="urn:microsoft.com/office/officeart/2005/8/layout/process2"/>
    <dgm:cxn modelId="{A57F41F0-05B3-47AF-9C7C-1101F79397E8}" type="presParOf" srcId="{1E883F0D-9A86-4A44-88C0-915C54248AE6}" destId="{05B046FE-F295-467E-BC09-4E129DAF6EFE}" srcOrd="2" destOrd="0" presId="urn:microsoft.com/office/officeart/2005/8/layout/process2"/>
    <dgm:cxn modelId="{A951460D-5F9D-4FAD-BB21-FDE557EE04AE}" type="presParOf" srcId="{1E883F0D-9A86-4A44-88C0-915C54248AE6}" destId="{6A975CC7-1801-4D52-859F-1D0F50C1E84F}" srcOrd="3" destOrd="0" presId="urn:microsoft.com/office/officeart/2005/8/layout/process2"/>
    <dgm:cxn modelId="{01A0690A-F7BA-4774-93A2-FBD3373A94ED}" type="presParOf" srcId="{6A975CC7-1801-4D52-859F-1D0F50C1E84F}" destId="{A14FE648-2807-4F80-85BC-4BF63667AAE7}" srcOrd="0" destOrd="0" presId="urn:microsoft.com/office/officeart/2005/8/layout/process2"/>
    <dgm:cxn modelId="{B54C0E56-7AD3-4651-B78B-C19BD015FF5A}" type="presParOf" srcId="{1E883F0D-9A86-4A44-88C0-915C54248AE6}" destId="{F84AD36C-DB92-4BF7-828B-65E09A4D11B2}" srcOrd="4" destOrd="0" presId="urn:microsoft.com/office/officeart/2005/8/layout/process2"/>
    <dgm:cxn modelId="{1CA25B78-8B40-4039-B569-D4C111250812}" type="presParOf" srcId="{1E883F0D-9A86-4A44-88C0-915C54248AE6}" destId="{EBC3B20C-9AED-4482-8019-B79594A3E3A2}" srcOrd="5" destOrd="0" presId="urn:microsoft.com/office/officeart/2005/8/layout/process2"/>
    <dgm:cxn modelId="{5ABB4F9C-6609-4D05-A332-C1DC3974FD46}" type="presParOf" srcId="{EBC3B20C-9AED-4482-8019-B79594A3E3A2}" destId="{9D93724C-26E7-4EEB-9136-90CC1F245074}" srcOrd="0" destOrd="0" presId="urn:microsoft.com/office/officeart/2005/8/layout/process2"/>
    <dgm:cxn modelId="{CEBF7ADD-5C10-48DA-A53E-C7BF9BD9CA28}" type="presParOf" srcId="{1E883F0D-9A86-4A44-88C0-915C54248AE6}" destId="{400C03D1-326A-4193-A6A0-232B596AF3F8}" srcOrd="6" destOrd="0" presId="urn:microsoft.com/office/officeart/2005/8/layout/process2"/>
    <dgm:cxn modelId="{B8C265E1-C012-4EE5-8DBB-4BBEA17D2963}" type="presParOf" srcId="{1E883F0D-9A86-4A44-88C0-915C54248AE6}" destId="{6DB20DEB-EB52-4CAF-A5D1-09CDEC600214}" srcOrd="7" destOrd="0" presId="urn:microsoft.com/office/officeart/2005/8/layout/process2"/>
    <dgm:cxn modelId="{551A6D62-709C-4E06-AE5A-C5C4A3203A89}" type="presParOf" srcId="{6DB20DEB-EB52-4CAF-A5D1-09CDEC600214}" destId="{709BFF2B-E19C-4A01-8CF3-39C7488ABB96}" srcOrd="0" destOrd="0" presId="urn:microsoft.com/office/officeart/2005/8/layout/process2"/>
    <dgm:cxn modelId="{3D78F3AF-DFD1-440F-987A-096941BC2937}" type="presParOf" srcId="{1E883F0D-9A86-4A44-88C0-915C54248AE6}" destId="{C17988C9-3B64-4E7D-9A45-25FF5EE62D21}" srcOrd="8" destOrd="0" presId="urn:microsoft.com/office/officeart/2005/8/layout/process2"/>
    <dgm:cxn modelId="{CB5A2FF6-5CAE-40C5-87A7-B83284D799D7}" type="presParOf" srcId="{1E883F0D-9A86-4A44-88C0-915C54248AE6}" destId="{941387CA-54AC-4D21-9026-26F11E04B5C6}" srcOrd="9" destOrd="0" presId="urn:microsoft.com/office/officeart/2005/8/layout/process2"/>
    <dgm:cxn modelId="{FE10BFFC-A008-44FF-9D39-56A19EF84415}" type="presParOf" srcId="{941387CA-54AC-4D21-9026-26F11E04B5C6}" destId="{4BE71BF1-D6C4-49E7-9447-3987935B4721}" srcOrd="0" destOrd="0" presId="urn:microsoft.com/office/officeart/2005/8/layout/process2"/>
    <dgm:cxn modelId="{08CC87C1-CD07-4694-AEE9-9B4DC78F14A0}" type="presParOf" srcId="{1E883F0D-9A86-4A44-88C0-915C54248AE6}" destId="{1E8AAC00-2F94-4C21-8176-8A3569EFA9C0}" srcOrd="10"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B56A5-C9F1-4C59-983D-C1C52CC208E1}">
      <dsp:nvSpPr>
        <dsp:cNvPr id="0" name=""/>
        <dsp:cNvSpPr/>
      </dsp:nvSpPr>
      <dsp:spPr>
        <a:xfrm>
          <a:off x="2292976" y="1573"/>
          <a:ext cx="1357646" cy="4661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solidFill>
                <a:sysClr val="window" lastClr="FFFFFF"/>
              </a:solidFill>
              <a:latin typeface="Calibri"/>
              <a:ea typeface="+mn-ea"/>
              <a:cs typeface="+mn-cs"/>
            </a:rPr>
            <a:t>Establishment</a:t>
          </a:r>
          <a:endParaRPr lang="en-US" sz="1200" kern="1200" dirty="0">
            <a:solidFill>
              <a:sysClr val="window" lastClr="FFFFFF"/>
            </a:solidFill>
            <a:latin typeface="Calibri"/>
            <a:ea typeface="+mn-ea"/>
            <a:cs typeface="+mn-cs"/>
          </a:endParaRPr>
        </a:p>
      </dsp:txBody>
      <dsp:txXfrm>
        <a:off x="2306630" y="15227"/>
        <a:ext cx="1330338" cy="438860"/>
      </dsp:txXfrm>
    </dsp:sp>
    <dsp:sp modelId="{3E3CA126-91B5-4AB2-B6DD-AB91C28692CB}">
      <dsp:nvSpPr>
        <dsp:cNvPr id="0" name=""/>
        <dsp:cNvSpPr/>
      </dsp:nvSpPr>
      <dsp:spPr>
        <a:xfrm rot="5400000">
          <a:off x="2884393" y="479395"/>
          <a:ext cx="174813" cy="20977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rot="-5400000">
        <a:off x="2908867" y="496876"/>
        <a:ext cx="125865" cy="122369"/>
      </dsp:txXfrm>
    </dsp:sp>
    <dsp:sp modelId="{05B046FE-F295-467E-BC09-4E129DAF6EFE}">
      <dsp:nvSpPr>
        <dsp:cNvPr id="0" name=""/>
        <dsp:cNvSpPr/>
      </dsp:nvSpPr>
      <dsp:spPr>
        <a:xfrm>
          <a:off x="2292976" y="700825"/>
          <a:ext cx="1357646" cy="4661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solidFill>
                <a:sysClr val="window" lastClr="FFFFFF"/>
              </a:solidFill>
              <a:latin typeface="Calibri"/>
              <a:ea typeface="+mn-ea"/>
              <a:cs typeface="+mn-cs"/>
            </a:rPr>
            <a:t>Reporting</a:t>
          </a:r>
          <a:endParaRPr lang="en-US" sz="1200" kern="1200" dirty="0">
            <a:solidFill>
              <a:sysClr val="window" lastClr="FFFFFF"/>
            </a:solidFill>
            <a:latin typeface="Calibri"/>
            <a:ea typeface="+mn-ea"/>
            <a:cs typeface="+mn-cs"/>
          </a:endParaRPr>
        </a:p>
      </dsp:txBody>
      <dsp:txXfrm>
        <a:off x="2306630" y="714479"/>
        <a:ext cx="1330338" cy="438860"/>
      </dsp:txXfrm>
    </dsp:sp>
    <dsp:sp modelId="{6A975CC7-1801-4D52-859F-1D0F50C1E84F}">
      <dsp:nvSpPr>
        <dsp:cNvPr id="0" name=""/>
        <dsp:cNvSpPr/>
      </dsp:nvSpPr>
      <dsp:spPr>
        <a:xfrm rot="5400000">
          <a:off x="2884393" y="1178647"/>
          <a:ext cx="174813" cy="20977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rot="-5400000">
        <a:off x="2908867" y="1196128"/>
        <a:ext cx="125865" cy="122369"/>
      </dsp:txXfrm>
    </dsp:sp>
    <dsp:sp modelId="{F84AD36C-DB92-4BF7-828B-65E09A4D11B2}">
      <dsp:nvSpPr>
        <dsp:cNvPr id="0" name=""/>
        <dsp:cNvSpPr/>
      </dsp:nvSpPr>
      <dsp:spPr>
        <a:xfrm>
          <a:off x="2292976" y="1400077"/>
          <a:ext cx="1357646" cy="4661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solidFill>
                <a:sysClr val="window" lastClr="FFFFFF"/>
              </a:solidFill>
              <a:latin typeface="Calibri"/>
              <a:ea typeface="+mn-ea"/>
              <a:cs typeface="+mn-cs"/>
            </a:rPr>
            <a:t>Acceptance and Processing</a:t>
          </a:r>
        </a:p>
      </dsp:txBody>
      <dsp:txXfrm>
        <a:off x="2306630" y="1413731"/>
        <a:ext cx="1330338" cy="438860"/>
      </dsp:txXfrm>
    </dsp:sp>
    <dsp:sp modelId="{EBC3B20C-9AED-4482-8019-B79594A3E3A2}">
      <dsp:nvSpPr>
        <dsp:cNvPr id="0" name=""/>
        <dsp:cNvSpPr/>
      </dsp:nvSpPr>
      <dsp:spPr>
        <a:xfrm rot="5400000">
          <a:off x="2884393" y="1877899"/>
          <a:ext cx="174813" cy="20977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rot="-5400000">
        <a:off x="2908867" y="1895380"/>
        <a:ext cx="125865" cy="122369"/>
      </dsp:txXfrm>
    </dsp:sp>
    <dsp:sp modelId="{400C03D1-326A-4193-A6A0-232B596AF3F8}">
      <dsp:nvSpPr>
        <dsp:cNvPr id="0" name=""/>
        <dsp:cNvSpPr/>
      </dsp:nvSpPr>
      <dsp:spPr>
        <a:xfrm>
          <a:off x="2292976" y="2099329"/>
          <a:ext cx="1357646" cy="4661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solidFill>
                <a:sysClr val="window" lastClr="FFFFFF"/>
              </a:solidFill>
              <a:latin typeface="Calibri"/>
              <a:ea typeface="+mn-ea"/>
              <a:cs typeface="+mn-cs"/>
            </a:rPr>
            <a:t>Review and Information Sharing</a:t>
          </a:r>
        </a:p>
      </dsp:txBody>
      <dsp:txXfrm>
        <a:off x="2306630" y="2112983"/>
        <a:ext cx="1330338" cy="438860"/>
      </dsp:txXfrm>
    </dsp:sp>
    <dsp:sp modelId="{6DB20DEB-EB52-4CAF-A5D1-09CDEC600214}">
      <dsp:nvSpPr>
        <dsp:cNvPr id="0" name=""/>
        <dsp:cNvSpPr/>
      </dsp:nvSpPr>
      <dsp:spPr>
        <a:xfrm rot="5400000">
          <a:off x="2884393" y="2577151"/>
          <a:ext cx="174813" cy="20977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rot="-5400000">
        <a:off x="2908867" y="2594632"/>
        <a:ext cx="125865" cy="122369"/>
      </dsp:txXfrm>
    </dsp:sp>
    <dsp:sp modelId="{C17988C9-3B64-4E7D-9A45-25FF5EE62D21}">
      <dsp:nvSpPr>
        <dsp:cNvPr id="0" name=""/>
        <dsp:cNvSpPr/>
      </dsp:nvSpPr>
      <dsp:spPr>
        <a:xfrm>
          <a:off x="2292976" y="2798581"/>
          <a:ext cx="1357646" cy="4661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solidFill>
                <a:sysClr val="window" lastClr="FFFFFF"/>
              </a:solidFill>
              <a:latin typeface="Calibri"/>
              <a:ea typeface="+mn-ea"/>
              <a:cs typeface="+mn-cs"/>
            </a:rPr>
            <a:t>Corrective Action</a:t>
          </a:r>
        </a:p>
      </dsp:txBody>
      <dsp:txXfrm>
        <a:off x="2306630" y="2812235"/>
        <a:ext cx="1330338" cy="438860"/>
      </dsp:txXfrm>
    </dsp:sp>
    <dsp:sp modelId="{941387CA-54AC-4D21-9026-26F11E04B5C6}">
      <dsp:nvSpPr>
        <dsp:cNvPr id="0" name=""/>
        <dsp:cNvSpPr/>
      </dsp:nvSpPr>
      <dsp:spPr>
        <a:xfrm rot="5400000">
          <a:off x="2884393" y="3276403"/>
          <a:ext cx="174813" cy="20977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rot="-5400000">
        <a:off x="2908867" y="3293884"/>
        <a:ext cx="125865" cy="122369"/>
      </dsp:txXfrm>
    </dsp:sp>
    <dsp:sp modelId="{1E8AAC00-2F94-4C21-8176-8A3569EFA9C0}">
      <dsp:nvSpPr>
        <dsp:cNvPr id="0" name=""/>
        <dsp:cNvSpPr/>
      </dsp:nvSpPr>
      <dsp:spPr>
        <a:xfrm>
          <a:off x="2292976" y="3497833"/>
          <a:ext cx="1357646" cy="4661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solidFill>
                <a:sysClr val="window" lastClr="FFFFFF"/>
              </a:solidFill>
              <a:latin typeface="Calibri"/>
              <a:ea typeface="+mn-ea"/>
              <a:cs typeface="+mn-cs"/>
            </a:rPr>
            <a:t>Feedback</a:t>
          </a:r>
        </a:p>
      </dsp:txBody>
      <dsp:txXfrm>
        <a:off x="2306630" y="3511487"/>
        <a:ext cx="1330338" cy="4388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362D83-1915-42ED-AF7F-3685D947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15464</Words>
  <Characters>88146</Characters>
  <Application>Microsoft Office Word</Application>
  <DocSecurity>4</DocSecurity>
  <Lines>734</Lines>
  <Paragraphs>206</Paragraphs>
  <ScaleCrop>false</ScaleCrop>
  <HeadingPairs>
    <vt:vector size="2" baseType="variant">
      <vt:variant>
        <vt:lpstr>Title</vt:lpstr>
      </vt:variant>
      <vt:variant>
        <vt:i4>1</vt:i4>
      </vt:variant>
    </vt:vector>
  </HeadingPairs>
  <TitlesOfParts>
    <vt:vector size="1" baseType="lpstr">
      <vt:lpstr>Transit Rail Advisory Committee for Safety (TRACS) Working Group 11-01</vt:lpstr>
    </vt:vector>
  </TitlesOfParts>
  <Company>DOT</Company>
  <LinksUpToDate>false</LinksUpToDate>
  <CharactersWithSpaces>103404</CharactersWithSpaces>
  <SharedDoc>false</SharedDoc>
  <HLinks>
    <vt:vector size="330" baseType="variant">
      <vt:variant>
        <vt:i4>65553</vt:i4>
      </vt:variant>
      <vt:variant>
        <vt:i4>222</vt:i4>
      </vt:variant>
      <vt:variant>
        <vt:i4>0</vt:i4>
      </vt:variant>
      <vt:variant>
        <vt:i4>5</vt:i4>
      </vt:variant>
      <vt:variant>
        <vt:lpwstr>http://grants.nih.gov/grants/policy/coc/contacts.htm</vt:lpwstr>
      </vt:variant>
      <vt:variant>
        <vt:lpwstr/>
      </vt:variant>
      <vt:variant>
        <vt:i4>1703953</vt:i4>
      </vt:variant>
      <vt:variant>
        <vt:i4>219</vt:i4>
      </vt:variant>
      <vt:variant>
        <vt:i4>0</vt:i4>
      </vt:variant>
      <vt:variant>
        <vt:i4>5</vt:i4>
      </vt:variant>
      <vt:variant>
        <vt:lpwstr>http://grants.nih.gov/grants/policy/coc/contacts.htm</vt:lpwstr>
      </vt:variant>
      <vt:variant>
        <vt:lpwstr>ninr</vt:lpwstr>
      </vt:variant>
      <vt:variant>
        <vt:i4>786449</vt:i4>
      </vt:variant>
      <vt:variant>
        <vt:i4>216</vt:i4>
      </vt:variant>
      <vt:variant>
        <vt:i4>0</vt:i4>
      </vt:variant>
      <vt:variant>
        <vt:i4>5</vt:i4>
      </vt:variant>
      <vt:variant>
        <vt:lpwstr>http://grants.nih.gov/grants/policy/coc/contacts.htm</vt:lpwstr>
      </vt:variant>
      <vt:variant>
        <vt:lpwstr>ninds</vt:lpwstr>
      </vt:variant>
      <vt:variant>
        <vt:i4>18</vt:i4>
      </vt:variant>
      <vt:variant>
        <vt:i4>213</vt:i4>
      </vt:variant>
      <vt:variant>
        <vt:i4>0</vt:i4>
      </vt:variant>
      <vt:variant>
        <vt:i4>5</vt:i4>
      </vt:variant>
      <vt:variant>
        <vt:lpwstr>http://grants.nih.gov/grants/policy/coc/contacts.htm</vt:lpwstr>
      </vt:variant>
      <vt:variant>
        <vt:lpwstr>nimh</vt:lpwstr>
      </vt:variant>
      <vt:variant>
        <vt:i4>26</vt:i4>
      </vt:variant>
      <vt:variant>
        <vt:i4>210</vt:i4>
      </vt:variant>
      <vt:variant>
        <vt:i4>0</vt:i4>
      </vt:variant>
      <vt:variant>
        <vt:i4>5</vt:i4>
      </vt:variant>
      <vt:variant>
        <vt:lpwstr>http://grants.nih.gov/grants/policy/coc/contacts.htm</vt:lpwstr>
      </vt:variant>
      <vt:variant>
        <vt:lpwstr>niehs</vt:lpwstr>
      </vt:variant>
      <vt:variant>
        <vt:i4>28</vt:i4>
      </vt:variant>
      <vt:variant>
        <vt:i4>207</vt:i4>
      </vt:variant>
      <vt:variant>
        <vt:i4>0</vt:i4>
      </vt:variant>
      <vt:variant>
        <vt:i4>5</vt:i4>
      </vt:variant>
      <vt:variant>
        <vt:lpwstr>http://grants.nih.gov/grants/policy/coc/contacts.htm</vt:lpwstr>
      </vt:variant>
      <vt:variant>
        <vt:lpwstr>nichd</vt:lpwstr>
      </vt:variant>
      <vt:variant>
        <vt:i4>65566</vt:i4>
      </vt:variant>
      <vt:variant>
        <vt:i4>204</vt:i4>
      </vt:variant>
      <vt:variant>
        <vt:i4>0</vt:i4>
      </vt:variant>
      <vt:variant>
        <vt:i4>5</vt:i4>
      </vt:variant>
      <vt:variant>
        <vt:lpwstr>http://grants.nih.gov/grants/policy/coc/contacts.htm</vt:lpwstr>
      </vt:variant>
      <vt:variant>
        <vt:lpwstr>niaid</vt:lpwstr>
      </vt:variant>
      <vt:variant>
        <vt:i4>589854</vt:i4>
      </vt:variant>
      <vt:variant>
        <vt:i4>201</vt:i4>
      </vt:variant>
      <vt:variant>
        <vt:i4>0</vt:i4>
      </vt:variant>
      <vt:variant>
        <vt:i4>5</vt:i4>
      </vt:variant>
      <vt:variant>
        <vt:lpwstr>http://grants.nih.gov/grants/policy/coc/contacts.htm</vt:lpwstr>
      </vt:variant>
      <vt:variant>
        <vt:lpwstr>niaaa</vt:lpwstr>
      </vt:variant>
      <vt:variant>
        <vt:i4>720915</vt:i4>
      </vt:variant>
      <vt:variant>
        <vt:i4>198</vt:i4>
      </vt:variant>
      <vt:variant>
        <vt:i4>0</vt:i4>
      </vt:variant>
      <vt:variant>
        <vt:i4>5</vt:i4>
      </vt:variant>
      <vt:variant>
        <vt:lpwstr>http://grants.nih.gov/grants/policy/coc/contacts.htm</vt:lpwstr>
      </vt:variant>
      <vt:variant>
        <vt:lpwstr>nhlbi</vt:lpwstr>
      </vt:variant>
      <vt:variant>
        <vt:i4>1048589</vt:i4>
      </vt:variant>
      <vt:variant>
        <vt:i4>195</vt:i4>
      </vt:variant>
      <vt:variant>
        <vt:i4>0</vt:i4>
      </vt:variant>
      <vt:variant>
        <vt:i4>5</vt:i4>
      </vt:variant>
      <vt:variant>
        <vt:lpwstr>http://grants.nih.gov/grants/policy/coc/contacts.htm</vt:lpwstr>
      </vt:variant>
      <vt:variant>
        <vt:lpwstr>ncrr</vt:lpwstr>
      </vt:variant>
      <vt:variant>
        <vt:i4>196636</vt:i4>
      </vt:variant>
      <vt:variant>
        <vt:i4>192</vt:i4>
      </vt:variant>
      <vt:variant>
        <vt:i4>0</vt:i4>
      </vt:variant>
      <vt:variant>
        <vt:i4>5</vt:i4>
      </vt:variant>
      <vt:variant>
        <vt:lpwstr>http://grants.nih.gov/grants/policy/coc/contacts.htm</vt:lpwstr>
      </vt:variant>
      <vt:variant>
        <vt:lpwstr>nccam</vt:lpwstr>
      </vt:variant>
      <vt:variant>
        <vt:i4>2162714</vt:i4>
      </vt:variant>
      <vt:variant>
        <vt:i4>189</vt:i4>
      </vt:variant>
      <vt:variant>
        <vt:i4>0</vt:i4>
      </vt:variant>
      <vt:variant>
        <vt:i4>5</vt:i4>
      </vt:variant>
      <vt:variant>
        <vt:lpwstr>http://grants.nih.gov/grants/policy/coc/appl_intramural.htm</vt:lpwstr>
      </vt:variant>
      <vt:variant>
        <vt:lpwstr/>
      </vt:variant>
      <vt:variant>
        <vt:i4>2949132</vt:i4>
      </vt:variant>
      <vt:variant>
        <vt:i4>186</vt:i4>
      </vt:variant>
      <vt:variant>
        <vt:i4>0</vt:i4>
      </vt:variant>
      <vt:variant>
        <vt:i4>5</vt:i4>
      </vt:variant>
      <vt:variant>
        <vt:lpwstr>http://grants.nih.gov/grants/policy/coc/appl_extramural.htm</vt:lpwstr>
      </vt:variant>
      <vt:variant>
        <vt:lpwstr/>
      </vt:variant>
      <vt:variant>
        <vt:i4>65553</vt:i4>
      </vt:variant>
      <vt:variant>
        <vt:i4>183</vt:i4>
      </vt:variant>
      <vt:variant>
        <vt:i4>0</vt:i4>
      </vt:variant>
      <vt:variant>
        <vt:i4>5</vt:i4>
      </vt:variant>
      <vt:variant>
        <vt:lpwstr>http://grants.nih.gov/grants/policy/coc/contacts.htm</vt:lpwstr>
      </vt:variant>
      <vt:variant>
        <vt:lpwstr/>
      </vt:variant>
      <vt:variant>
        <vt:i4>1572894</vt:i4>
      </vt:variant>
      <vt:variant>
        <vt:i4>180</vt:i4>
      </vt:variant>
      <vt:variant>
        <vt:i4>0</vt:i4>
      </vt:variant>
      <vt:variant>
        <vt:i4>5</vt:i4>
      </vt:variant>
      <vt:variant>
        <vt:lpwstr>http://grants.nih.gov/grants/policy/coc/faqs.htm</vt:lpwstr>
      </vt:variant>
      <vt:variant>
        <vt:lpwstr/>
      </vt:variant>
      <vt:variant>
        <vt:i4>2162714</vt:i4>
      </vt:variant>
      <vt:variant>
        <vt:i4>177</vt:i4>
      </vt:variant>
      <vt:variant>
        <vt:i4>0</vt:i4>
      </vt:variant>
      <vt:variant>
        <vt:i4>5</vt:i4>
      </vt:variant>
      <vt:variant>
        <vt:lpwstr>http://grants.nih.gov/grants/policy/coc/appl_intramural.htm</vt:lpwstr>
      </vt:variant>
      <vt:variant>
        <vt:lpwstr/>
      </vt:variant>
      <vt:variant>
        <vt:i4>2949132</vt:i4>
      </vt:variant>
      <vt:variant>
        <vt:i4>174</vt:i4>
      </vt:variant>
      <vt:variant>
        <vt:i4>0</vt:i4>
      </vt:variant>
      <vt:variant>
        <vt:i4>5</vt:i4>
      </vt:variant>
      <vt:variant>
        <vt:lpwstr>http://grants.nih.gov/grants/policy/coc/appl_extramural.htm</vt:lpwstr>
      </vt:variant>
      <vt:variant>
        <vt:lpwstr/>
      </vt:variant>
      <vt:variant>
        <vt:i4>7012382</vt:i4>
      </vt:variant>
      <vt:variant>
        <vt:i4>171</vt:i4>
      </vt:variant>
      <vt:variant>
        <vt:i4>0</vt:i4>
      </vt:variant>
      <vt:variant>
        <vt:i4>5</vt:i4>
      </vt:variant>
      <vt:variant>
        <vt:lpwstr>http://www.hhs.gov/ohrp/archive/irb/irb_chapter3.htm</vt:lpwstr>
      </vt:variant>
      <vt:variant>
        <vt:lpwstr/>
      </vt:variant>
      <vt:variant>
        <vt:i4>5111928</vt:i4>
      </vt:variant>
      <vt:variant>
        <vt:i4>168</vt:i4>
      </vt:variant>
      <vt:variant>
        <vt:i4>0</vt:i4>
      </vt:variant>
      <vt:variant>
        <vt:i4>5</vt:i4>
      </vt:variant>
      <vt:variant>
        <vt:lpwstr>http://grants.nih.gov/grants/policy/coc/cd_policy.htm</vt:lpwstr>
      </vt:variant>
      <vt:variant>
        <vt:lpwstr/>
      </vt:variant>
      <vt:variant>
        <vt:i4>1572917</vt:i4>
      </vt:variant>
      <vt:variant>
        <vt:i4>165</vt:i4>
      </vt:variant>
      <vt:variant>
        <vt:i4>0</vt:i4>
      </vt:variant>
      <vt:variant>
        <vt:i4>5</vt:i4>
      </vt:variant>
      <vt:variant>
        <vt:lpwstr/>
      </vt:variant>
      <vt:variant>
        <vt:lpwstr>_Toc317106191</vt:lpwstr>
      </vt:variant>
      <vt:variant>
        <vt:i4>1572917</vt:i4>
      </vt:variant>
      <vt:variant>
        <vt:i4>159</vt:i4>
      </vt:variant>
      <vt:variant>
        <vt:i4>0</vt:i4>
      </vt:variant>
      <vt:variant>
        <vt:i4>5</vt:i4>
      </vt:variant>
      <vt:variant>
        <vt:lpwstr/>
      </vt:variant>
      <vt:variant>
        <vt:lpwstr>_Toc317106190</vt:lpwstr>
      </vt:variant>
      <vt:variant>
        <vt:i4>1638453</vt:i4>
      </vt:variant>
      <vt:variant>
        <vt:i4>153</vt:i4>
      </vt:variant>
      <vt:variant>
        <vt:i4>0</vt:i4>
      </vt:variant>
      <vt:variant>
        <vt:i4>5</vt:i4>
      </vt:variant>
      <vt:variant>
        <vt:lpwstr/>
      </vt:variant>
      <vt:variant>
        <vt:lpwstr>_Toc317106189</vt:lpwstr>
      </vt:variant>
      <vt:variant>
        <vt:i4>1638453</vt:i4>
      </vt:variant>
      <vt:variant>
        <vt:i4>147</vt:i4>
      </vt:variant>
      <vt:variant>
        <vt:i4>0</vt:i4>
      </vt:variant>
      <vt:variant>
        <vt:i4>5</vt:i4>
      </vt:variant>
      <vt:variant>
        <vt:lpwstr/>
      </vt:variant>
      <vt:variant>
        <vt:lpwstr>_Toc317106188</vt:lpwstr>
      </vt:variant>
      <vt:variant>
        <vt:i4>1638453</vt:i4>
      </vt:variant>
      <vt:variant>
        <vt:i4>141</vt:i4>
      </vt:variant>
      <vt:variant>
        <vt:i4>0</vt:i4>
      </vt:variant>
      <vt:variant>
        <vt:i4>5</vt:i4>
      </vt:variant>
      <vt:variant>
        <vt:lpwstr/>
      </vt:variant>
      <vt:variant>
        <vt:lpwstr>_Toc317106187</vt:lpwstr>
      </vt:variant>
      <vt:variant>
        <vt:i4>1638453</vt:i4>
      </vt:variant>
      <vt:variant>
        <vt:i4>135</vt:i4>
      </vt:variant>
      <vt:variant>
        <vt:i4>0</vt:i4>
      </vt:variant>
      <vt:variant>
        <vt:i4>5</vt:i4>
      </vt:variant>
      <vt:variant>
        <vt:lpwstr/>
      </vt:variant>
      <vt:variant>
        <vt:lpwstr>_Toc317106186</vt:lpwstr>
      </vt:variant>
      <vt:variant>
        <vt:i4>1638453</vt:i4>
      </vt:variant>
      <vt:variant>
        <vt:i4>132</vt:i4>
      </vt:variant>
      <vt:variant>
        <vt:i4>0</vt:i4>
      </vt:variant>
      <vt:variant>
        <vt:i4>5</vt:i4>
      </vt:variant>
      <vt:variant>
        <vt:lpwstr/>
      </vt:variant>
      <vt:variant>
        <vt:lpwstr>_Toc317106180</vt:lpwstr>
      </vt:variant>
      <vt:variant>
        <vt:i4>1441845</vt:i4>
      </vt:variant>
      <vt:variant>
        <vt:i4>129</vt:i4>
      </vt:variant>
      <vt:variant>
        <vt:i4>0</vt:i4>
      </vt:variant>
      <vt:variant>
        <vt:i4>5</vt:i4>
      </vt:variant>
      <vt:variant>
        <vt:lpwstr/>
      </vt:variant>
      <vt:variant>
        <vt:lpwstr>_Toc317106179</vt:lpwstr>
      </vt:variant>
      <vt:variant>
        <vt:i4>1441845</vt:i4>
      </vt:variant>
      <vt:variant>
        <vt:i4>126</vt:i4>
      </vt:variant>
      <vt:variant>
        <vt:i4>0</vt:i4>
      </vt:variant>
      <vt:variant>
        <vt:i4>5</vt:i4>
      </vt:variant>
      <vt:variant>
        <vt:lpwstr/>
      </vt:variant>
      <vt:variant>
        <vt:lpwstr>_Toc317106178</vt:lpwstr>
      </vt:variant>
      <vt:variant>
        <vt:i4>1441845</vt:i4>
      </vt:variant>
      <vt:variant>
        <vt:i4>123</vt:i4>
      </vt:variant>
      <vt:variant>
        <vt:i4>0</vt:i4>
      </vt:variant>
      <vt:variant>
        <vt:i4>5</vt:i4>
      </vt:variant>
      <vt:variant>
        <vt:lpwstr/>
      </vt:variant>
      <vt:variant>
        <vt:lpwstr>_Toc317106173</vt:lpwstr>
      </vt:variant>
      <vt:variant>
        <vt:i4>1441845</vt:i4>
      </vt:variant>
      <vt:variant>
        <vt:i4>120</vt:i4>
      </vt:variant>
      <vt:variant>
        <vt:i4>0</vt:i4>
      </vt:variant>
      <vt:variant>
        <vt:i4>5</vt:i4>
      </vt:variant>
      <vt:variant>
        <vt:lpwstr/>
      </vt:variant>
      <vt:variant>
        <vt:lpwstr>_Toc317106172</vt:lpwstr>
      </vt:variant>
      <vt:variant>
        <vt:i4>1507381</vt:i4>
      </vt:variant>
      <vt:variant>
        <vt:i4>117</vt:i4>
      </vt:variant>
      <vt:variant>
        <vt:i4>0</vt:i4>
      </vt:variant>
      <vt:variant>
        <vt:i4>5</vt:i4>
      </vt:variant>
      <vt:variant>
        <vt:lpwstr/>
      </vt:variant>
      <vt:variant>
        <vt:lpwstr>_Toc317106168</vt:lpwstr>
      </vt:variant>
      <vt:variant>
        <vt:i4>1507381</vt:i4>
      </vt:variant>
      <vt:variant>
        <vt:i4>114</vt:i4>
      </vt:variant>
      <vt:variant>
        <vt:i4>0</vt:i4>
      </vt:variant>
      <vt:variant>
        <vt:i4>5</vt:i4>
      </vt:variant>
      <vt:variant>
        <vt:lpwstr/>
      </vt:variant>
      <vt:variant>
        <vt:lpwstr>_Toc317106167</vt:lpwstr>
      </vt:variant>
      <vt:variant>
        <vt:i4>1507381</vt:i4>
      </vt:variant>
      <vt:variant>
        <vt:i4>111</vt:i4>
      </vt:variant>
      <vt:variant>
        <vt:i4>0</vt:i4>
      </vt:variant>
      <vt:variant>
        <vt:i4>5</vt:i4>
      </vt:variant>
      <vt:variant>
        <vt:lpwstr/>
      </vt:variant>
      <vt:variant>
        <vt:lpwstr>_Toc317106163</vt:lpwstr>
      </vt:variant>
      <vt:variant>
        <vt:i4>1507381</vt:i4>
      </vt:variant>
      <vt:variant>
        <vt:i4>105</vt:i4>
      </vt:variant>
      <vt:variant>
        <vt:i4>0</vt:i4>
      </vt:variant>
      <vt:variant>
        <vt:i4>5</vt:i4>
      </vt:variant>
      <vt:variant>
        <vt:lpwstr/>
      </vt:variant>
      <vt:variant>
        <vt:lpwstr>_Toc317106162</vt:lpwstr>
      </vt:variant>
      <vt:variant>
        <vt:i4>1507381</vt:i4>
      </vt:variant>
      <vt:variant>
        <vt:i4>99</vt:i4>
      </vt:variant>
      <vt:variant>
        <vt:i4>0</vt:i4>
      </vt:variant>
      <vt:variant>
        <vt:i4>5</vt:i4>
      </vt:variant>
      <vt:variant>
        <vt:lpwstr/>
      </vt:variant>
      <vt:variant>
        <vt:lpwstr>_Toc317106160</vt:lpwstr>
      </vt:variant>
      <vt:variant>
        <vt:i4>1310773</vt:i4>
      </vt:variant>
      <vt:variant>
        <vt:i4>93</vt:i4>
      </vt:variant>
      <vt:variant>
        <vt:i4>0</vt:i4>
      </vt:variant>
      <vt:variant>
        <vt:i4>5</vt:i4>
      </vt:variant>
      <vt:variant>
        <vt:lpwstr/>
      </vt:variant>
      <vt:variant>
        <vt:lpwstr>_Toc317106159</vt:lpwstr>
      </vt:variant>
      <vt:variant>
        <vt:i4>1310773</vt:i4>
      </vt:variant>
      <vt:variant>
        <vt:i4>87</vt:i4>
      </vt:variant>
      <vt:variant>
        <vt:i4>0</vt:i4>
      </vt:variant>
      <vt:variant>
        <vt:i4>5</vt:i4>
      </vt:variant>
      <vt:variant>
        <vt:lpwstr/>
      </vt:variant>
      <vt:variant>
        <vt:lpwstr>_Toc317106158</vt:lpwstr>
      </vt:variant>
      <vt:variant>
        <vt:i4>1310773</vt:i4>
      </vt:variant>
      <vt:variant>
        <vt:i4>71</vt:i4>
      </vt:variant>
      <vt:variant>
        <vt:i4>0</vt:i4>
      </vt:variant>
      <vt:variant>
        <vt:i4>5</vt:i4>
      </vt:variant>
      <vt:variant>
        <vt:lpwstr/>
      </vt:variant>
      <vt:variant>
        <vt:lpwstr>_Toc317106156</vt:lpwstr>
      </vt:variant>
      <vt:variant>
        <vt:i4>1310773</vt:i4>
      </vt:variant>
      <vt:variant>
        <vt:i4>65</vt:i4>
      </vt:variant>
      <vt:variant>
        <vt:i4>0</vt:i4>
      </vt:variant>
      <vt:variant>
        <vt:i4>5</vt:i4>
      </vt:variant>
      <vt:variant>
        <vt:lpwstr/>
      </vt:variant>
      <vt:variant>
        <vt:lpwstr>_Toc317106155</vt:lpwstr>
      </vt:variant>
      <vt:variant>
        <vt:i4>1310773</vt:i4>
      </vt:variant>
      <vt:variant>
        <vt:i4>59</vt:i4>
      </vt:variant>
      <vt:variant>
        <vt:i4>0</vt:i4>
      </vt:variant>
      <vt:variant>
        <vt:i4>5</vt:i4>
      </vt:variant>
      <vt:variant>
        <vt:lpwstr/>
      </vt:variant>
      <vt:variant>
        <vt:lpwstr>_Toc317106154</vt:lpwstr>
      </vt:variant>
      <vt:variant>
        <vt:i4>1310773</vt:i4>
      </vt:variant>
      <vt:variant>
        <vt:i4>50</vt:i4>
      </vt:variant>
      <vt:variant>
        <vt:i4>0</vt:i4>
      </vt:variant>
      <vt:variant>
        <vt:i4>5</vt:i4>
      </vt:variant>
      <vt:variant>
        <vt:lpwstr/>
      </vt:variant>
      <vt:variant>
        <vt:lpwstr>_Toc317106153</vt:lpwstr>
      </vt:variant>
      <vt:variant>
        <vt:i4>1310773</vt:i4>
      </vt:variant>
      <vt:variant>
        <vt:i4>44</vt:i4>
      </vt:variant>
      <vt:variant>
        <vt:i4>0</vt:i4>
      </vt:variant>
      <vt:variant>
        <vt:i4>5</vt:i4>
      </vt:variant>
      <vt:variant>
        <vt:lpwstr/>
      </vt:variant>
      <vt:variant>
        <vt:lpwstr>_Toc317106152</vt:lpwstr>
      </vt:variant>
      <vt:variant>
        <vt:i4>1310773</vt:i4>
      </vt:variant>
      <vt:variant>
        <vt:i4>38</vt:i4>
      </vt:variant>
      <vt:variant>
        <vt:i4>0</vt:i4>
      </vt:variant>
      <vt:variant>
        <vt:i4>5</vt:i4>
      </vt:variant>
      <vt:variant>
        <vt:lpwstr/>
      </vt:variant>
      <vt:variant>
        <vt:lpwstr>_Toc317106151</vt:lpwstr>
      </vt:variant>
      <vt:variant>
        <vt:i4>1310773</vt:i4>
      </vt:variant>
      <vt:variant>
        <vt:i4>32</vt:i4>
      </vt:variant>
      <vt:variant>
        <vt:i4>0</vt:i4>
      </vt:variant>
      <vt:variant>
        <vt:i4>5</vt:i4>
      </vt:variant>
      <vt:variant>
        <vt:lpwstr/>
      </vt:variant>
      <vt:variant>
        <vt:lpwstr>_Toc317106150</vt:lpwstr>
      </vt:variant>
      <vt:variant>
        <vt:i4>1376309</vt:i4>
      </vt:variant>
      <vt:variant>
        <vt:i4>29</vt:i4>
      </vt:variant>
      <vt:variant>
        <vt:i4>0</vt:i4>
      </vt:variant>
      <vt:variant>
        <vt:i4>5</vt:i4>
      </vt:variant>
      <vt:variant>
        <vt:lpwstr/>
      </vt:variant>
      <vt:variant>
        <vt:lpwstr>_Toc317106149</vt:lpwstr>
      </vt:variant>
      <vt:variant>
        <vt:i4>1376309</vt:i4>
      </vt:variant>
      <vt:variant>
        <vt:i4>26</vt:i4>
      </vt:variant>
      <vt:variant>
        <vt:i4>0</vt:i4>
      </vt:variant>
      <vt:variant>
        <vt:i4>5</vt:i4>
      </vt:variant>
      <vt:variant>
        <vt:lpwstr/>
      </vt:variant>
      <vt:variant>
        <vt:lpwstr>_Toc317106148</vt:lpwstr>
      </vt:variant>
      <vt:variant>
        <vt:i4>1376309</vt:i4>
      </vt:variant>
      <vt:variant>
        <vt:i4>23</vt:i4>
      </vt:variant>
      <vt:variant>
        <vt:i4>0</vt:i4>
      </vt:variant>
      <vt:variant>
        <vt:i4>5</vt:i4>
      </vt:variant>
      <vt:variant>
        <vt:lpwstr/>
      </vt:variant>
      <vt:variant>
        <vt:lpwstr>_Toc317106147</vt:lpwstr>
      </vt:variant>
      <vt:variant>
        <vt:i4>1376309</vt:i4>
      </vt:variant>
      <vt:variant>
        <vt:i4>20</vt:i4>
      </vt:variant>
      <vt:variant>
        <vt:i4>0</vt:i4>
      </vt:variant>
      <vt:variant>
        <vt:i4>5</vt:i4>
      </vt:variant>
      <vt:variant>
        <vt:lpwstr/>
      </vt:variant>
      <vt:variant>
        <vt:lpwstr>_Toc317106146</vt:lpwstr>
      </vt:variant>
      <vt:variant>
        <vt:i4>1376309</vt:i4>
      </vt:variant>
      <vt:variant>
        <vt:i4>17</vt:i4>
      </vt:variant>
      <vt:variant>
        <vt:i4>0</vt:i4>
      </vt:variant>
      <vt:variant>
        <vt:i4>5</vt:i4>
      </vt:variant>
      <vt:variant>
        <vt:lpwstr/>
      </vt:variant>
      <vt:variant>
        <vt:lpwstr>_Toc317106145</vt:lpwstr>
      </vt:variant>
      <vt:variant>
        <vt:i4>1376309</vt:i4>
      </vt:variant>
      <vt:variant>
        <vt:i4>14</vt:i4>
      </vt:variant>
      <vt:variant>
        <vt:i4>0</vt:i4>
      </vt:variant>
      <vt:variant>
        <vt:i4>5</vt:i4>
      </vt:variant>
      <vt:variant>
        <vt:lpwstr/>
      </vt:variant>
      <vt:variant>
        <vt:lpwstr>_Toc317106144</vt:lpwstr>
      </vt:variant>
      <vt:variant>
        <vt:i4>1376309</vt:i4>
      </vt:variant>
      <vt:variant>
        <vt:i4>8</vt:i4>
      </vt:variant>
      <vt:variant>
        <vt:i4>0</vt:i4>
      </vt:variant>
      <vt:variant>
        <vt:i4>5</vt:i4>
      </vt:variant>
      <vt:variant>
        <vt:lpwstr/>
      </vt:variant>
      <vt:variant>
        <vt:lpwstr>_Toc317106143</vt:lpwstr>
      </vt:variant>
      <vt:variant>
        <vt:i4>1376309</vt:i4>
      </vt:variant>
      <vt:variant>
        <vt:i4>2</vt:i4>
      </vt:variant>
      <vt:variant>
        <vt:i4>0</vt:i4>
      </vt:variant>
      <vt:variant>
        <vt:i4>5</vt:i4>
      </vt:variant>
      <vt:variant>
        <vt:lpwstr/>
      </vt:variant>
      <vt:variant>
        <vt:lpwstr>_Toc317106142</vt:lpwstr>
      </vt:variant>
      <vt:variant>
        <vt:i4>6160462</vt:i4>
      </vt:variant>
      <vt:variant>
        <vt:i4>6</vt:i4>
      </vt:variant>
      <vt:variant>
        <vt:i4>0</vt:i4>
      </vt:variant>
      <vt:variant>
        <vt:i4>5</vt:i4>
      </vt:variant>
      <vt:variant>
        <vt:lpwstr>http://grants.nih.gov/grants/policy/coc/index.htm</vt:lpwstr>
      </vt:variant>
      <vt:variant>
        <vt:lpwstr/>
      </vt:variant>
      <vt:variant>
        <vt:i4>4325445</vt:i4>
      </vt:variant>
      <vt:variant>
        <vt:i4>3</vt:i4>
      </vt:variant>
      <vt:variant>
        <vt:i4>0</vt:i4>
      </vt:variant>
      <vt:variant>
        <vt:i4>5</vt:i4>
      </vt:variant>
      <vt:variant>
        <vt:lpwstr>http://www.uwex.edu/ces/pdande/evaluation/evallogicmodel.html</vt:lpwstr>
      </vt:variant>
      <vt:variant>
        <vt:lpwstr/>
      </vt:variant>
      <vt:variant>
        <vt:i4>2883685</vt:i4>
      </vt:variant>
      <vt:variant>
        <vt:i4>0</vt:i4>
      </vt:variant>
      <vt:variant>
        <vt:i4>0</vt:i4>
      </vt:variant>
      <vt:variant>
        <vt:i4>5</vt:i4>
      </vt:variant>
      <vt:variant>
        <vt:lpwstr>http://www.wmich.edu/evalctr/archive_checklists/kec_feb07.pdf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Rail Advisory Committee for Safety (TRACS) Working Group 11-01</dc:title>
  <dc:creator>Jettea</dc:creator>
  <cp:lastModifiedBy>esther.white</cp:lastModifiedBy>
  <cp:revision>2</cp:revision>
  <cp:lastPrinted>2012-05-22T15:02:00Z</cp:lastPrinted>
  <dcterms:created xsi:type="dcterms:W3CDTF">2013-08-22T17:52:00Z</dcterms:created>
  <dcterms:modified xsi:type="dcterms:W3CDTF">2013-08-22T17:52:00Z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678710591</vt:i4>
  </property>
</Properties>
</file>